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4D" w:rsidRDefault="00AB594D" w:rsidP="00E46F7D">
      <w:pPr>
        <w:spacing w:after="0" w:line="240" w:lineRule="auto"/>
        <w:jc w:val="center"/>
        <w:rPr>
          <w:b/>
          <w:sz w:val="24"/>
        </w:rPr>
      </w:pPr>
      <w:bookmarkStart w:id="0" w:name="_GoBack"/>
      <w:bookmarkEnd w:id="0"/>
    </w:p>
    <w:p w:rsidR="00AB594D" w:rsidRDefault="00AB594D" w:rsidP="00E46F7D">
      <w:pPr>
        <w:spacing w:after="0" w:line="240" w:lineRule="auto"/>
        <w:jc w:val="center"/>
        <w:rPr>
          <w:b/>
          <w:sz w:val="24"/>
        </w:rPr>
      </w:pPr>
    </w:p>
    <w:p w:rsidR="001E057A" w:rsidRPr="00F375A7" w:rsidRDefault="00F46FA0" w:rsidP="000805D7">
      <w:pPr>
        <w:spacing w:after="0" w:line="240" w:lineRule="auto"/>
        <w:jc w:val="center"/>
        <w:rPr>
          <w:b/>
          <w:sz w:val="24"/>
        </w:rPr>
      </w:pPr>
      <w:r w:rsidRPr="00F375A7">
        <w:rPr>
          <w:b/>
          <w:sz w:val="24"/>
        </w:rPr>
        <w:t>FISCAL</w:t>
      </w:r>
      <w:r w:rsidR="001E057A" w:rsidRPr="00F375A7">
        <w:rPr>
          <w:b/>
          <w:sz w:val="24"/>
        </w:rPr>
        <w:t xml:space="preserve"> Y</w:t>
      </w:r>
      <w:r w:rsidRPr="00F375A7">
        <w:rPr>
          <w:b/>
          <w:sz w:val="24"/>
        </w:rPr>
        <w:t>EAR</w:t>
      </w:r>
      <w:r w:rsidR="001E057A" w:rsidRPr="00F375A7">
        <w:rPr>
          <w:b/>
          <w:sz w:val="24"/>
        </w:rPr>
        <w:t xml:space="preserve"> </w:t>
      </w:r>
      <w:r w:rsidR="000805D7">
        <w:rPr>
          <w:b/>
          <w:sz w:val="24"/>
        </w:rPr>
        <w:t>2020</w:t>
      </w:r>
      <w:r w:rsidR="001E057A" w:rsidRPr="00F375A7">
        <w:rPr>
          <w:b/>
          <w:sz w:val="24"/>
        </w:rPr>
        <w:t xml:space="preserve"> P</w:t>
      </w:r>
      <w:r w:rsidRPr="00F375A7">
        <w:rPr>
          <w:b/>
          <w:sz w:val="24"/>
        </w:rPr>
        <w:t>LANNING</w:t>
      </w:r>
      <w:r w:rsidR="001E057A" w:rsidRPr="00F375A7">
        <w:rPr>
          <w:b/>
          <w:sz w:val="24"/>
        </w:rPr>
        <w:t xml:space="preserve"> D</w:t>
      </w:r>
      <w:r w:rsidRPr="00F375A7">
        <w:rPr>
          <w:b/>
          <w:sz w:val="24"/>
        </w:rPr>
        <w:t>OCUMENT</w:t>
      </w:r>
    </w:p>
    <w:p w:rsidR="00331FA8" w:rsidRDefault="00331FA8" w:rsidP="000805D7">
      <w:pPr>
        <w:spacing w:after="0" w:line="240" w:lineRule="auto"/>
        <w:jc w:val="center"/>
      </w:pPr>
    </w:p>
    <w:p w:rsidR="001E057A" w:rsidRPr="00013E7C" w:rsidRDefault="00F46FA0" w:rsidP="000805D7">
      <w:pPr>
        <w:spacing w:line="240" w:lineRule="auto"/>
        <w:jc w:val="center"/>
        <w:rPr>
          <w:b/>
          <w:i/>
          <w:sz w:val="24"/>
          <w:szCs w:val="24"/>
        </w:rPr>
      </w:pPr>
      <w:r w:rsidRPr="00013E7C">
        <w:rPr>
          <w:b/>
          <w:i/>
          <w:sz w:val="24"/>
          <w:szCs w:val="24"/>
        </w:rPr>
        <w:t>Educat</w:t>
      </w:r>
      <w:r w:rsidR="000805D7">
        <w:rPr>
          <w:b/>
          <w:i/>
          <w:sz w:val="24"/>
          <w:szCs w:val="24"/>
        </w:rPr>
        <w:t>e Elevate Connect,</w:t>
      </w:r>
      <w:r w:rsidR="00013E7C" w:rsidRPr="00013E7C">
        <w:rPr>
          <w:b/>
          <w:i/>
          <w:sz w:val="24"/>
          <w:szCs w:val="24"/>
        </w:rPr>
        <w:t xml:space="preserve"> 201</w:t>
      </w:r>
      <w:r w:rsidR="000805D7">
        <w:rPr>
          <w:b/>
          <w:i/>
          <w:sz w:val="24"/>
          <w:szCs w:val="24"/>
        </w:rPr>
        <w:t>8</w:t>
      </w:r>
      <w:r w:rsidR="00013E7C" w:rsidRPr="00013E7C">
        <w:rPr>
          <w:b/>
          <w:i/>
          <w:sz w:val="24"/>
          <w:szCs w:val="24"/>
        </w:rPr>
        <w:t>-20</w:t>
      </w:r>
      <w:r w:rsidR="000805D7">
        <w:rPr>
          <w:b/>
          <w:i/>
          <w:sz w:val="24"/>
          <w:szCs w:val="24"/>
        </w:rPr>
        <w:t>23</w:t>
      </w:r>
    </w:p>
    <w:p w:rsidR="00F94D15" w:rsidRPr="00F375A7" w:rsidRDefault="006705FD" w:rsidP="00E46F7D">
      <w:pPr>
        <w:spacing w:after="0"/>
        <w:ind w:left="360"/>
        <w:rPr>
          <w:sz w:val="24"/>
        </w:rPr>
      </w:pPr>
      <w:r w:rsidRPr="00F375A7">
        <w:rPr>
          <w:sz w:val="24"/>
        </w:rPr>
        <w:t xml:space="preserve">By </w:t>
      </w:r>
      <w:r w:rsidR="00D670A4">
        <w:rPr>
          <w:sz w:val="24"/>
        </w:rPr>
        <w:t>acting on</w:t>
      </w:r>
      <w:r w:rsidR="001E057A" w:rsidRPr="00F375A7">
        <w:rPr>
          <w:sz w:val="24"/>
        </w:rPr>
        <w:t xml:space="preserve"> the </w:t>
      </w:r>
      <w:r w:rsidR="00A56181" w:rsidRPr="00F375A7">
        <w:rPr>
          <w:sz w:val="24"/>
        </w:rPr>
        <w:t xml:space="preserve">Mission, </w:t>
      </w:r>
      <w:r w:rsidR="001E057A" w:rsidRPr="00F375A7">
        <w:rPr>
          <w:sz w:val="24"/>
        </w:rPr>
        <w:t>Values</w:t>
      </w:r>
      <w:r w:rsidR="00A56181" w:rsidRPr="00F375A7">
        <w:rPr>
          <w:sz w:val="24"/>
        </w:rPr>
        <w:t>,</w:t>
      </w:r>
      <w:r w:rsidR="001E057A" w:rsidRPr="00F375A7">
        <w:rPr>
          <w:sz w:val="24"/>
        </w:rPr>
        <w:t xml:space="preserve"> </w:t>
      </w:r>
      <w:r w:rsidR="00E96A2C">
        <w:rPr>
          <w:sz w:val="24"/>
        </w:rPr>
        <w:t>Directions, Objectives, and Actions</w:t>
      </w:r>
      <w:r w:rsidR="00A56181" w:rsidRPr="00F375A7">
        <w:rPr>
          <w:sz w:val="24"/>
        </w:rPr>
        <w:t xml:space="preserve"> </w:t>
      </w:r>
      <w:r w:rsidR="001E057A" w:rsidRPr="00F375A7">
        <w:rPr>
          <w:sz w:val="24"/>
        </w:rPr>
        <w:t xml:space="preserve">of </w:t>
      </w:r>
      <w:r w:rsidR="000805D7">
        <w:rPr>
          <w:i/>
          <w:sz w:val="24"/>
        </w:rPr>
        <w:t>Educate Elevate Connect</w:t>
      </w:r>
      <w:r w:rsidRPr="00F375A7">
        <w:rPr>
          <w:sz w:val="24"/>
        </w:rPr>
        <w:t>,</w:t>
      </w:r>
      <w:r w:rsidR="001E057A" w:rsidRPr="00F375A7">
        <w:rPr>
          <w:sz w:val="24"/>
        </w:rPr>
        <w:t xml:space="preserve"> the Stevenson Center will </w:t>
      </w:r>
      <w:r w:rsidRPr="00F375A7">
        <w:rPr>
          <w:sz w:val="24"/>
        </w:rPr>
        <w:t>advance the University</w:t>
      </w:r>
      <w:r w:rsidR="00067EA3">
        <w:rPr>
          <w:sz w:val="24"/>
        </w:rPr>
        <w:t>’s</w:t>
      </w:r>
      <w:r w:rsidRPr="00F375A7">
        <w:rPr>
          <w:sz w:val="24"/>
        </w:rPr>
        <w:t xml:space="preserve"> and</w:t>
      </w:r>
      <w:r w:rsidR="001E057A" w:rsidRPr="00F375A7">
        <w:rPr>
          <w:sz w:val="24"/>
        </w:rPr>
        <w:t xml:space="preserve"> its own mission to provide a quality educational experience </w:t>
      </w:r>
      <w:r w:rsidR="00331FA8" w:rsidRPr="00F375A7">
        <w:rPr>
          <w:sz w:val="24"/>
        </w:rPr>
        <w:t>and</w:t>
      </w:r>
      <w:r w:rsidR="001E057A" w:rsidRPr="00F375A7">
        <w:rPr>
          <w:sz w:val="24"/>
        </w:rPr>
        <w:t xml:space="preserve"> service to com</w:t>
      </w:r>
      <w:r w:rsidR="00F94D15" w:rsidRPr="00F375A7">
        <w:rPr>
          <w:sz w:val="24"/>
        </w:rPr>
        <w:t>munities throughout the world.</w:t>
      </w:r>
    </w:p>
    <w:p w:rsidR="00F94D15" w:rsidRPr="00F375A7" w:rsidRDefault="00F94D15" w:rsidP="00E46F7D">
      <w:pPr>
        <w:spacing w:after="0" w:line="240" w:lineRule="auto"/>
        <w:ind w:left="360"/>
        <w:rPr>
          <w:sz w:val="24"/>
        </w:rPr>
      </w:pPr>
    </w:p>
    <w:p w:rsidR="00F94D15" w:rsidRDefault="00F94D15" w:rsidP="00E46F7D">
      <w:pPr>
        <w:spacing w:after="0" w:line="240" w:lineRule="auto"/>
        <w:ind w:left="360"/>
        <w:rPr>
          <w:bCs/>
          <w:sz w:val="24"/>
          <w:szCs w:val="24"/>
        </w:rPr>
      </w:pPr>
      <w:r w:rsidRPr="00E46F7D">
        <w:rPr>
          <w:bCs/>
          <w:sz w:val="24"/>
          <w:szCs w:val="24"/>
        </w:rPr>
        <w:t xml:space="preserve">From </w:t>
      </w:r>
      <w:r w:rsidR="000805D7">
        <w:rPr>
          <w:bCs/>
          <w:i/>
          <w:sz w:val="24"/>
          <w:szCs w:val="24"/>
        </w:rPr>
        <w:t>Educate Elevate Connect, 2018-2023</w:t>
      </w:r>
      <w:r w:rsidRPr="00E46F7D">
        <w:rPr>
          <w:bCs/>
          <w:sz w:val="24"/>
          <w:szCs w:val="24"/>
        </w:rPr>
        <w:t>:</w:t>
      </w:r>
    </w:p>
    <w:p w:rsidR="00E46F7D" w:rsidRDefault="00E46F7D" w:rsidP="00E46F7D">
      <w:pPr>
        <w:spacing w:after="0" w:line="240" w:lineRule="auto"/>
        <w:ind w:left="360"/>
        <w:rPr>
          <w:bCs/>
          <w:sz w:val="24"/>
          <w:szCs w:val="24"/>
        </w:rPr>
      </w:pPr>
    </w:p>
    <w:p w:rsidR="00E46F7D" w:rsidRPr="00E46F7D" w:rsidRDefault="00E46F7D" w:rsidP="00E46F7D">
      <w:pPr>
        <w:pStyle w:val="ListParagraph"/>
        <w:numPr>
          <w:ilvl w:val="0"/>
          <w:numId w:val="12"/>
        </w:numPr>
        <w:spacing w:after="0"/>
        <w:ind w:left="1080"/>
        <w:rPr>
          <w:rFonts w:cstheme="minorHAnsi"/>
          <w:iCs/>
          <w:sz w:val="24"/>
          <w:szCs w:val="24"/>
        </w:rPr>
      </w:pPr>
      <w:r w:rsidRPr="00E46F7D">
        <w:rPr>
          <w:rFonts w:cstheme="minorHAnsi"/>
          <w:iCs/>
          <w:sz w:val="24"/>
          <w:szCs w:val="24"/>
        </w:rPr>
        <w:t xml:space="preserve">The Stevenson Center’s curriculum </w:t>
      </w:r>
      <w:r w:rsidR="000805D7">
        <w:rPr>
          <w:rFonts w:cstheme="minorHAnsi"/>
          <w:iCs/>
          <w:sz w:val="24"/>
          <w:szCs w:val="24"/>
        </w:rPr>
        <w:t>“Supports student learning through a seamless integration of curricular and co-curricular activities…</w:t>
      </w:r>
      <w:r w:rsidRPr="00E46F7D">
        <w:rPr>
          <w:rFonts w:cstheme="minorHAnsi"/>
          <w:iCs/>
          <w:sz w:val="24"/>
          <w:szCs w:val="24"/>
        </w:rPr>
        <w:t>.”</w:t>
      </w:r>
    </w:p>
    <w:p w:rsidR="00E46F7D" w:rsidRPr="00E46F7D" w:rsidRDefault="00E46F7D" w:rsidP="00E46F7D">
      <w:pPr>
        <w:spacing w:after="0" w:line="240" w:lineRule="auto"/>
        <w:ind w:left="1080"/>
        <w:rPr>
          <w:rFonts w:cstheme="minorHAnsi"/>
          <w:iCs/>
          <w:sz w:val="24"/>
          <w:szCs w:val="24"/>
        </w:rPr>
      </w:pPr>
    </w:p>
    <w:p w:rsidR="00E46F7D" w:rsidRPr="00E46F7D" w:rsidRDefault="00E46F7D" w:rsidP="00E46F7D">
      <w:pPr>
        <w:pStyle w:val="ListParagraph"/>
        <w:numPr>
          <w:ilvl w:val="0"/>
          <w:numId w:val="12"/>
        </w:numPr>
        <w:spacing w:after="0"/>
        <w:ind w:left="1080"/>
        <w:rPr>
          <w:rFonts w:cstheme="minorHAnsi"/>
          <w:iCs/>
          <w:sz w:val="24"/>
          <w:szCs w:val="24"/>
        </w:rPr>
      </w:pPr>
      <w:r w:rsidRPr="00E46F7D">
        <w:rPr>
          <w:rFonts w:cstheme="minorHAnsi"/>
          <w:iCs/>
          <w:sz w:val="24"/>
          <w:szCs w:val="24"/>
        </w:rPr>
        <w:t>The Stevenson Center serve</w:t>
      </w:r>
      <w:r w:rsidR="003526E7">
        <w:rPr>
          <w:rFonts w:cstheme="minorHAnsi"/>
          <w:iCs/>
          <w:sz w:val="24"/>
          <w:szCs w:val="24"/>
        </w:rPr>
        <w:t>s</w:t>
      </w:r>
      <w:r w:rsidRPr="00E46F7D">
        <w:rPr>
          <w:rFonts w:cstheme="minorHAnsi"/>
          <w:iCs/>
          <w:sz w:val="24"/>
          <w:szCs w:val="24"/>
        </w:rPr>
        <w:t xml:space="preserve"> “…the region, state, nation, and world through its commitments to responsible stewardship, meaningful civic engagement, cultural enrichment, and the development of global citizens.”</w:t>
      </w:r>
    </w:p>
    <w:p w:rsidR="00E46F7D" w:rsidRPr="00E46F7D" w:rsidRDefault="00E46F7D" w:rsidP="00E46F7D">
      <w:pPr>
        <w:spacing w:after="0" w:line="240" w:lineRule="auto"/>
        <w:ind w:left="1080"/>
        <w:rPr>
          <w:rFonts w:cstheme="minorHAnsi"/>
          <w:iCs/>
          <w:sz w:val="24"/>
          <w:szCs w:val="24"/>
        </w:rPr>
      </w:pPr>
    </w:p>
    <w:p w:rsidR="00F94D15" w:rsidRDefault="00F94D15" w:rsidP="00D670A4">
      <w:pPr>
        <w:spacing w:after="120"/>
        <w:ind w:left="360"/>
        <w:rPr>
          <w:iCs/>
          <w:sz w:val="24"/>
        </w:rPr>
      </w:pPr>
      <w:r w:rsidRPr="00F375A7">
        <w:rPr>
          <w:iCs/>
          <w:sz w:val="24"/>
        </w:rPr>
        <w:t>Like Illinois State University, one of the Stevenson Center’s core values is civic engagement.  The Center:</w:t>
      </w:r>
    </w:p>
    <w:p w:rsidR="003526E7" w:rsidRDefault="003526E7" w:rsidP="003526E7">
      <w:pPr>
        <w:autoSpaceDE w:val="0"/>
        <w:autoSpaceDN w:val="0"/>
        <w:adjustRightInd w:val="0"/>
        <w:spacing w:after="0"/>
        <w:ind w:left="720"/>
        <w:rPr>
          <w:rFonts w:eastAsiaTheme="minorHAnsi" w:cstheme="minorHAnsi"/>
          <w:color w:val="131313"/>
          <w:sz w:val="24"/>
          <w:szCs w:val="25"/>
        </w:rPr>
      </w:pPr>
      <w:r w:rsidRPr="003526E7">
        <w:rPr>
          <w:rFonts w:eastAsiaTheme="minorHAnsi" w:cstheme="minorHAnsi"/>
          <w:color w:val="131313"/>
          <w:sz w:val="24"/>
          <w:szCs w:val="25"/>
        </w:rPr>
        <w:t>…prepares students to be infor</w:t>
      </w:r>
      <w:r w:rsidR="00E96A2C">
        <w:rPr>
          <w:rFonts w:eastAsiaTheme="minorHAnsi" w:cstheme="minorHAnsi"/>
          <w:color w:val="131313"/>
          <w:sz w:val="24"/>
          <w:szCs w:val="25"/>
        </w:rPr>
        <w:t>med and engaged global citizens</w:t>
      </w:r>
      <w:r w:rsidR="000805D7">
        <w:rPr>
          <w:rFonts w:eastAsiaTheme="minorHAnsi" w:cstheme="minorHAnsi"/>
          <w:color w:val="131313"/>
          <w:sz w:val="24"/>
          <w:szCs w:val="25"/>
        </w:rPr>
        <w:t>; ethical l</w:t>
      </w:r>
      <w:r w:rsidR="00E96A2C">
        <w:rPr>
          <w:rFonts w:eastAsiaTheme="minorHAnsi" w:cstheme="minorHAnsi"/>
          <w:color w:val="131313"/>
          <w:sz w:val="24"/>
          <w:szCs w:val="25"/>
        </w:rPr>
        <w:t>eaders who will craft, promote,</w:t>
      </w:r>
      <w:r w:rsidR="000805D7">
        <w:rPr>
          <w:rFonts w:eastAsiaTheme="minorHAnsi" w:cstheme="minorHAnsi"/>
          <w:color w:val="131313"/>
          <w:sz w:val="24"/>
          <w:szCs w:val="25"/>
        </w:rPr>
        <w:t xml:space="preserve"> and further positive goals for the betterment of society.  </w:t>
      </w:r>
      <w:r w:rsidRPr="003526E7">
        <w:rPr>
          <w:rFonts w:eastAsiaTheme="minorHAnsi" w:cstheme="minorHAnsi"/>
          <w:color w:val="131313"/>
          <w:sz w:val="24"/>
          <w:szCs w:val="25"/>
        </w:rPr>
        <w:t>The University promotes active learning experiences through which students gain an awareness and understanding of civic engagement as a lifelong responsibility.</w:t>
      </w:r>
    </w:p>
    <w:p w:rsidR="003526E7" w:rsidRPr="003526E7" w:rsidRDefault="003526E7" w:rsidP="00D670A4">
      <w:pPr>
        <w:autoSpaceDE w:val="0"/>
        <w:autoSpaceDN w:val="0"/>
        <w:adjustRightInd w:val="0"/>
        <w:spacing w:after="0" w:line="240" w:lineRule="auto"/>
        <w:ind w:left="720"/>
        <w:rPr>
          <w:rFonts w:eastAsiaTheme="minorHAnsi" w:cstheme="minorHAnsi"/>
          <w:color w:val="131313"/>
          <w:sz w:val="24"/>
          <w:szCs w:val="25"/>
        </w:rPr>
      </w:pPr>
    </w:p>
    <w:p w:rsidR="00F94D15" w:rsidRPr="006031AD" w:rsidRDefault="00F94D15" w:rsidP="00E46F7D">
      <w:pPr>
        <w:spacing w:after="240"/>
        <w:ind w:left="360"/>
        <w:rPr>
          <w:sz w:val="24"/>
        </w:rPr>
      </w:pPr>
      <w:r w:rsidRPr="006031AD">
        <w:rPr>
          <w:sz w:val="24"/>
        </w:rPr>
        <w:t xml:space="preserve">Symbiotically, </w:t>
      </w:r>
      <w:r w:rsidR="00067EA3" w:rsidRPr="006031AD">
        <w:rPr>
          <w:sz w:val="24"/>
        </w:rPr>
        <w:t>the Stevenson Center</w:t>
      </w:r>
      <w:r w:rsidRPr="006031AD">
        <w:rPr>
          <w:sz w:val="24"/>
        </w:rPr>
        <w:t xml:space="preserve"> educate</w:t>
      </w:r>
      <w:r w:rsidR="00067EA3" w:rsidRPr="006031AD">
        <w:rPr>
          <w:sz w:val="24"/>
        </w:rPr>
        <w:t>s</w:t>
      </w:r>
      <w:r w:rsidRPr="006031AD">
        <w:rPr>
          <w:sz w:val="24"/>
        </w:rPr>
        <w:t xml:space="preserve"> students</w:t>
      </w:r>
      <w:r w:rsidR="00067EA3" w:rsidRPr="006031AD">
        <w:rPr>
          <w:sz w:val="24"/>
        </w:rPr>
        <w:t xml:space="preserve"> </w:t>
      </w:r>
      <w:r w:rsidR="00D670A4">
        <w:rPr>
          <w:sz w:val="24"/>
        </w:rPr>
        <w:t xml:space="preserve">through their </w:t>
      </w:r>
      <w:r w:rsidRPr="006031AD">
        <w:rPr>
          <w:sz w:val="24"/>
        </w:rPr>
        <w:t>serv</w:t>
      </w:r>
      <w:r w:rsidR="00D670A4">
        <w:rPr>
          <w:sz w:val="24"/>
        </w:rPr>
        <w:t>ice to</w:t>
      </w:r>
      <w:r w:rsidRPr="006031AD">
        <w:rPr>
          <w:sz w:val="24"/>
        </w:rPr>
        <w:t xml:space="preserve"> communities; we serve communities through the work of </w:t>
      </w:r>
      <w:r w:rsidR="00067EA3" w:rsidRPr="006031AD">
        <w:rPr>
          <w:sz w:val="24"/>
        </w:rPr>
        <w:t>our</w:t>
      </w:r>
      <w:r w:rsidRPr="006031AD">
        <w:rPr>
          <w:sz w:val="24"/>
        </w:rPr>
        <w:t xml:space="preserve"> students</w:t>
      </w:r>
      <w:r w:rsidR="00E778A6" w:rsidRPr="006031AD">
        <w:rPr>
          <w:sz w:val="24"/>
        </w:rPr>
        <w:t>, staff,</w:t>
      </w:r>
      <w:r w:rsidRPr="006031AD">
        <w:rPr>
          <w:sz w:val="24"/>
        </w:rPr>
        <w:t xml:space="preserve"> and faculty.</w:t>
      </w:r>
    </w:p>
    <w:p w:rsidR="00EE6342" w:rsidRDefault="00EE6342" w:rsidP="001B172C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b/>
          <w:sz w:val="24"/>
        </w:rPr>
      </w:pPr>
      <w:r w:rsidRPr="00F375A7">
        <w:rPr>
          <w:b/>
          <w:sz w:val="24"/>
        </w:rPr>
        <w:t>OBJECTIVES</w:t>
      </w:r>
    </w:p>
    <w:p w:rsidR="006318D8" w:rsidRPr="00C744E1" w:rsidRDefault="00C744E1" w:rsidP="00C744E1">
      <w:pPr>
        <w:pStyle w:val="ListParagraph"/>
        <w:spacing w:after="0" w:line="240" w:lineRule="auto"/>
        <w:ind w:left="360"/>
        <w:rPr>
          <w:sz w:val="24"/>
        </w:rPr>
      </w:pPr>
      <w:r w:rsidRPr="00C744E1">
        <w:rPr>
          <w:sz w:val="24"/>
        </w:rPr>
        <w:t xml:space="preserve">These objectives flow from our 2016 </w:t>
      </w:r>
      <w:r w:rsidR="00D66A8F">
        <w:rPr>
          <w:sz w:val="24"/>
        </w:rPr>
        <w:t xml:space="preserve">IBHE </w:t>
      </w:r>
      <w:r w:rsidRPr="00C744E1">
        <w:rPr>
          <w:sz w:val="24"/>
        </w:rPr>
        <w:t>Program Review process</w:t>
      </w:r>
      <w:r w:rsidR="006C5351">
        <w:rPr>
          <w:sz w:val="24"/>
        </w:rPr>
        <w:t xml:space="preserve"> and our 2018 Strategic Planning process</w:t>
      </w:r>
      <w:r w:rsidRPr="00C744E1">
        <w:rPr>
          <w:sz w:val="24"/>
        </w:rPr>
        <w:t>.</w:t>
      </w:r>
    </w:p>
    <w:p w:rsidR="00C744E1" w:rsidRPr="00F375A7" w:rsidRDefault="00C744E1" w:rsidP="00C744E1">
      <w:pPr>
        <w:pStyle w:val="ListParagraph"/>
        <w:spacing w:after="0" w:line="240" w:lineRule="auto"/>
        <w:ind w:left="360"/>
        <w:rPr>
          <w:b/>
          <w:sz w:val="24"/>
        </w:rPr>
      </w:pPr>
    </w:p>
    <w:p w:rsidR="00B0238B" w:rsidRPr="00B0238B" w:rsidRDefault="00C744E1" w:rsidP="002D092F">
      <w:pPr>
        <w:pStyle w:val="ListParagraph"/>
        <w:numPr>
          <w:ilvl w:val="0"/>
          <w:numId w:val="16"/>
        </w:numPr>
        <w:spacing w:after="0"/>
        <w:rPr>
          <w:rFonts w:cstheme="minorHAnsi"/>
          <w:sz w:val="24"/>
          <w:szCs w:val="24"/>
        </w:rPr>
      </w:pPr>
      <w:r w:rsidRPr="00B0238B">
        <w:rPr>
          <w:sz w:val="24"/>
          <w:u w:val="single"/>
        </w:rPr>
        <w:t>Ensure Stability of Graduate Programs</w:t>
      </w:r>
      <w:r w:rsidR="006C5351">
        <w:rPr>
          <w:sz w:val="24"/>
          <w:u w:val="single"/>
        </w:rPr>
        <w:t xml:space="preserve"> and Cultivate Leaders to Positively Impact Communities</w:t>
      </w:r>
      <w:r w:rsidRPr="00B0238B">
        <w:rPr>
          <w:sz w:val="24"/>
        </w:rPr>
        <w:t>:</w:t>
      </w:r>
      <w:r w:rsidRPr="00B0238B">
        <w:rPr>
          <w:b/>
          <w:sz w:val="24"/>
        </w:rPr>
        <w:t xml:space="preserve">  </w:t>
      </w:r>
      <w:r w:rsidR="006C5351">
        <w:rPr>
          <w:sz w:val="24"/>
        </w:rPr>
        <w:t>O</w:t>
      </w:r>
      <w:r w:rsidRPr="00B0238B">
        <w:rPr>
          <w:sz w:val="24"/>
        </w:rPr>
        <w:t>ur first priority is making sure our Peace Corps Fellows and A</w:t>
      </w:r>
      <w:r w:rsidR="00E96A2C">
        <w:rPr>
          <w:sz w:val="24"/>
        </w:rPr>
        <w:t xml:space="preserve">pplied </w:t>
      </w:r>
      <w:r w:rsidRPr="00B0238B">
        <w:rPr>
          <w:sz w:val="24"/>
        </w:rPr>
        <w:t>C</w:t>
      </w:r>
      <w:r w:rsidR="00E96A2C">
        <w:rPr>
          <w:sz w:val="24"/>
        </w:rPr>
        <w:t xml:space="preserve">ommunity and </w:t>
      </w:r>
      <w:r w:rsidRPr="00B0238B">
        <w:rPr>
          <w:sz w:val="24"/>
        </w:rPr>
        <w:t>E</w:t>
      </w:r>
      <w:r w:rsidR="00E96A2C">
        <w:rPr>
          <w:sz w:val="24"/>
        </w:rPr>
        <w:t xml:space="preserve">conomic </w:t>
      </w:r>
      <w:r w:rsidRPr="00B0238B">
        <w:rPr>
          <w:sz w:val="24"/>
        </w:rPr>
        <w:t>D</w:t>
      </w:r>
      <w:r w:rsidR="00E96A2C">
        <w:rPr>
          <w:sz w:val="24"/>
        </w:rPr>
        <w:t>evelopment</w:t>
      </w:r>
      <w:r w:rsidRPr="00B0238B">
        <w:rPr>
          <w:sz w:val="24"/>
        </w:rPr>
        <w:t xml:space="preserve"> Fellows Programs are strong.  We will focus on </w:t>
      </w:r>
      <w:r w:rsidRPr="00D66A8F">
        <w:rPr>
          <w:sz w:val="24"/>
        </w:rPr>
        <w:t>recruitment and placement</w:t>
      </w:r>
      <w:r w:rsidRPr="00B0238B">
        <w:rPr>
          <w:i/>
          <w:sz w:val="24"/>
        </w:rPr>
        <w:t xml:space="preserve"> </w:t>
      </w:r>
      <w:r w:rsidRPr="00B0238B">
        <w:rPr>
          <w:sz w:val="24"/>
        </w:rPr>
        <w:t xml:space="preserve">of </w:t>
      </w:r>
      <w:r w:rsidR="00B0238B" w:rsidRPr="00B0238B">
        <w:rPr>
          <w:sz w:val="24"/>
        </w:rPr>
        <w:t>12</w:t>
      </w:r>
      <w:r w:rsidR="006C5351">
        <w:rPr>
          <w:sz w:val="24"/>
        </w:rPr>
        <w:t xml:space="preserve">-13 </w:t>
      </w:r>
      <w:r w:rsidRPr="00B0238B">
        <w:rPr>
          <w:sz w:val="24"/>
        </w:rPr>
        <w:t>Fellows</w:t>
      </w:r>
      <w:r w:rsidR="00B0238B" w:rsidRPr="00B0238B">
        <w:rPr>
          <w:sz w:val="24"/>
        </w:rPr>
        <w:t xml:space="preserve"> per cohort</w:t>
      </w:r>
      <w:r w:rsidRPr="00B0238B">
        <w:rPr>
          <w:sz w:val="24"/>
        </w:rPr>
        <w:t xml:space="preserve">.  </w:t>
      </w:r>
      <w:r w:rsidR="00B0238B" w:rsidRPr="00B0238B">
        <w:rPr>
          <w:sz w:val="24"/>
        </w:rPr>
        <w:t xml:space="preserve">These experienced development professionals will populate the courses of our affiliated departments; they will be teaching assistants and mentors in Illinois State’s undergraduate classrooms.  These students </w:t>
      </w:r>
      <w:r w:rsidR="00575EE1">
        <w:rPr>
          <w:sz w:val="24"/>
        </w:rPr>
        <w:t xml:space="preserve">will </w:t>
      </w:r>
      <w:r w:rsidR="005162E5">
        <w:rPr>
          <w:sz w:val="24"/>
        </w:rPr>
        <w:t xml:space="preserve">serve local community agencies and </w:t>
      </w:r>
      <w:r w:rsidR="00B0238B" w:rsidRPr="00B0238B">
        <w:rPr>
          <w:sz w:val="24"/>
        </w:rPr>
        <w:t xml:space="preserve">organizations elsewhere in the </w:t>
      </w:r>
      <w:r w:rsidR="00B0238B" w:rsidRPr="00B0238B">
        <w:rPr>
          <w:sz w:val="24"/>
        </w:rPr>
        <w:lastRenderedPageBreak/>
        <w:t xml:space="preserve">US.  Recruitment efforts </w:t>
      </w:r>
      <w:r w:rsidRPr="00B0238B">
        <w:rPr>
          <w:sz w:val="24"/>
        </w:rPr>
        <w:t>include diversifying cohorts</w:t>
      </w:r>
      <w:r w:rsidR="006C5351">
        <w:rPr>
          <w:sz w:val="24"/>
        </w:rPr>
        <w:t xml:space="preserve">, being more balanced between Peace Corps and ACED Fellows, and </w:t>
      </w:r>
      <w:r w:rsidR="00B0238B" w:rsidRPr="00B0238B">
        <w:rPr>
          <w:sz w:val="24"/>
        </w:rPr>
        <w:t>improv</w:t>
      </w:r>
      <w:r w:rsidR="006C5351">
        <w:rPr>
          <w:sz w:val="24"/>
        </w:rPr>
        <w:t>ed</w:t>
      </w:r>
      <w:r w:rsidRPr="00B0238B">
        <w:rPr>
          <w:sz w:val="24"/>
        </w:rPr>
        <w:t xml:space="preserve"> branding</w:t>
      </w:r>
      <w:r w:rsidR="006C5351">
        <w:rPr>
          <w:sz w:val="24"/>
        </w:rPr>
        <w:t>--</w:t>
      </w:r>
      <w:r w:rsidRPr="00B0238B">
        <w:rPr>
          <w:sz w:val="24"/>
        </w:rPr>
        <w:t>such that it plays to our strengths.  We will continue to adapt the placement process such that it remains effective for students, hosts</w:t>
      </w:r>
      <w:r w:rsidR="00D66A8F">
        <w:rPr>
          <w:sz w:val="24"/>
        </w:rPr>
        <w:t>, and staff while navigating shifts in state and federal policy</w:t>
      </w:r>
      <w:r w:rsidRPr="00B0238B">
        <w:rPr>
          <w:sz w:val="24"/>
        </w:rPr>
        <w:t>.  More frequent and deeper contacts with alumni will be integral to both recr</w:t>
      </w:r>
      <w:r w:rsidR="00D66A8F">
        <w:rPr>
          <w:sz w:val="24"/>
        </w:rPr>
        <w:t xml:space="preserve">uitment and placement efforts.  </w:t>
      </w:r>
      <w:r w:rsidRPr="00B0238B">
        <w:rPr>
          <w:sz w:val="24"/>
        </w:rPr>
        <w:t xml:space="preserve">The Curriculum Committee will determine the best timing for more substantive updates </w:t>
      </w:r>
      <w:r w:rsidR="008B4247" w:rsidRPr="00B0238B">
        <w:rPr>
          <w:sz w:val="24"/>
        </w:rPr>
        <w:t>to the ACED sequence</w:t>
      </w:r>
      <w:r w:rsidRPr="00B0238B">
        <w:rPr>
          <w:sz w:val="24"/>
        </w:rPr>
        <w:t>.</w:t>
      </w:r>
      <w:r w:rsidR="006C5351">
        <w:rPr>
          <w:sz w:val="24"/>
        </w:rPr>
        <w:t xml:space="preserve">  The students emanating from this curriculum provide service to communities throughout the country.  They become leaders in community/economic development.</w:t>
      </w:r>
    </w:p>
    <w:p w:rsidR="00B0238B" w:rsidRPr="00B0238B" w:rsidRDefault="00B0238B" w:rsidP="00B0238B">
      <w:pPr>
        <w:pStyle w:val="ListParagraph"/>
        <w:spacing w:after="0"/>
        <w:rPr>
          <w:rFonts w:cstheme="minorHAnsi"/>
          <w:sz w:val="24"/>
          <w:szCs w:val="24"/>
        </w:rPr>
      </w:pPr>
    </w:p>
    <w:p w:rsidR="009376F1" w:rsidRPr="00857427" w:rsidRDefault="009376F1" w:rsidP="009376F1">
      <w:pPr>
        <w:pStyle w:val="ListParagraph"/>
        <w:numPr>
          <w:ilvl w:val="0"/>
          <w:numId w:val="16"/>
        </w:numPr>
        <w:spacing w:after="0"/>
        <w:rPr>
          <w:rFonts w:cstheme="minorHAnsi"/>
          <w:sz w:val="24"/>
          <w:szCs w:val="24"/>
        </w:rPr>
      </w:pPr>
      <w:r>
        <w:rPr>
          <w:sz w:val="24"/>
          <w:szCs w:val="24"/>
          <w:u w:val="single"/>
        </w:rPr>
        <w:t xml:space="preserve">Continue to Raise Awareness about </w:t>
      </w:r>
      <w:r w:rsidRPr="00B0238B">
        <w:rPr>
          <w:sz w:val="24"/>
          <w:szCs w:val="24"/>
          <w:u w:val="single"/>
        </w:rPr>
        <w:t xml:space="preserve">Peace </w:t>
      </w:r>
      <w:r>
        <w:rPr>
          <w:sz w:val="24"/>
          <w:szCs w:val="24"/>
          <w:u w:val="single"/>
        </w:rPr>
        <w:t>Corps and AmeriCorps</w:t>
      </w:r>
      <w:r w:rsidRPr="00B0238B">
        <w:rPr>
          <w:sz w:val="24"/>
          <w:szCs w:val="24"/>
        </w:rPr>
        <w:t xml:space="preserve">:  </w:t>
      </w:r>
      <w:r>
        <w:rPr>
          <w:rFonts w:cstheme="minorHAnsi"/>
          <w:sz w:val="24"/>
          <w:szCs w:val="24"/>
        </w:rPr>
        <w:t>The Peace Corps Prep P</w:t>
      </w:r>
      <w:r w:rsidRPr="00B0238B">
        <w:rPr>
          <w:rFonts w:cstheme="minorHAnsi"/>
          <w:sz w:val="24"/>
          <w:szCs w:val="24"/>
        </w:rPr>
        <w:t>rogram</w:t>
      </w:r>
      <w:r>
        <w:rPr>
          <w:rFonts w:cstheme="minorHAnsi"/>
          <w:sz w:val="24"/>
          <w:szCs w:val="24"/>
        </w:rPr>
        <w:t xml:space="preserve"> will continue to fulfill its potential. </w:t>
      </w:r>
      <w:r w:rsidR="009749F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As the first certificate holders begin their service, we will remain in touch with them and connect them with students on campus. </w:t>
      </w:r>
      <w:r w:rsidR="009749FC">
        <w:rPr>
          <w:rFonts w:cstheme="minorHAnsi"/>
          <w:sz w:val="24"/>
          <w:szCs w:val="24"/>
        </w:rPr>
        <w:t xml:space="preserve"> </w:t>
      </w:r>
      <w:r w:rsidR="00BE2E44">
        <w:rPr>
          <w:rFonts w:cstheme="minorHAnsi"/>
          <w:bCs/>
          <w:sz w:val="24"/>
          <w:szCs w:val="24"/>
        </w:rPr>
        <w:t>Over 50 students are enrolled</w:t>
      </w:r>
      <w:r w:rsidRPr="00857427">
        <w:rPr>
          <w:rFonts w:cstheme="minorHAnsi"/>
          <w:bCs/>
          <w:sz w:val="24"/>
          <w:szCs w:val="24"/>
        </w:rPr>
        <w:t xml:space="preserve">; engagement levels vary. </w:t>
      </w:r>
      <w:r w:rsidR="009749FC">
        <w:rPr>
          <w:rFonts w:cstheme="minorHAnsi"/>
          <w:bCs/>
          <w:sz w:val="24"/>
          <w:szCs w:val="24"/>
        </w:rPr>
        <w:t xml:space="preserve"> </w:t>
      </w:r>
      <w:r w:rsidRPr="00857427">
        <w:rPr>
          <w:rFonts w:cstheme="minorHAnsi"/>
          <w:sz w:val="24"/>
          <w:szCs w:val="24"/>
        </w:rPr>
        <w:t xml:space="preserve">A core group of Prep students </w:t>
      </w:r>
      <w:r>
        <w:rPr>
          <w:rFonts w:cstheme="minorHAnsi"/>
          <w:sz w:val="24"/>
          <w:szCs w:val="24"/>
        </w:rPr>
        <w:t>continues to build the</w:t>
      </w:r>
      <w:r w:rsidRPr="00857427">
        <w:rPr>
          <w:rFonts w:cstheme="minorHAnsi"/>
          <w:sz w:val="24"/>
          <w:szCs w:val="24"/>
        </w:rPr>
        <w:t xml:space="preserve"> RSO, Friends for Peace, to actively support each other and raise awareness on campus.</w:t>
      </w:r>
      <w:r>
        <w:rPr>
          <w:rFonts w:cstheme="minorHAnsi"/>
          <w:sz w:val="24"/>
          <w:szCs w:val="24"/>
        </w:rPr>
        <w:t xml:space="preserve"> </w:t>
      </w:r>
      <w:r w:rsidR="009749F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While there have been some events, we would like to provide more opportunities for these students to interact with our graduate students, with perhaps a joint project between the two RSOs. </w:t>
      </w:r>
      <w:r w:rsidR="009749F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 related goal is to develop the capacity for more individual engagement with Prep students who may need it. </w:t>
      </w:r>
      <w:r w:rsidR="007231A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We anticipate another year of funding for Peace Corps campus recruitment. </w:t>
      </w:r>
      <w:r w:rsidR="009749F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Both the Prep program and Peace Corps </w:t>
      </w:r>
      <w:r w:rsidR="00E96A2C">
        <w:rPr>
          <w:rFonts w:cstheme="minorHAnsi"/>
          <w:sz w:val="24"/>
          <w:szCs w:val="24"/>
        </w:rPr>
        <w:t xml:space="preserve">campus recruitment efforts </w:t>
      </w:r>
      <w:r>
        <w:rPr>
          <w:rFonts w:cstheme="minorHAnsi"/>
          <w:sz w:val="24"/>
          <w:szCs w:val="24"/>
        </w:rPr>
        <w:t xml:space="preserve">benefited immensely from partnerships on campus, which </w:t>
      </w:r>
      <w:r w:rsidR="00BD2E54">
        <w:rPr>
          <w:rFonts w:cstheme="minorHAnsi"/>
          <w:sz w:val="24"/>
          <w:szCs w:val="24"/>
        </w:rPr>
        <w:t>we will continue to strengthen.  We have</w:t>
      </w:r>
      <w:r w:rsidR="00E96A2C">
        <w:rPr>
          <w:rFonts w:cstheme="minorHAnsi"/>
          <w:sz w:val="24"/>
          <w:szCs w:val="24"/>
        </w:rPr>
        <w:t xml:space="preserve"> AmeriCorps Member</w:t>
      </w:r>
      <w:r w:rsidR="00BD2E54">
        <w:rPr>
          <w:rFonts w:cstheme="minorHAnsi"/>
          <w:sz w:val="24"/>
          <w:szCs w:val="24"/>
        </w:rPr>
        <w:t>s</w:t>
      </w:r>
      <w:r w:rsidR="00E96A2C">
        <w:rPr>
          <w:rFonts w:cstheme="minorHAnsi"/>
          <w:sz w:val="24"/>
          <w:szCs w:val="24"/>
        </w:rPr>
        <w:t xml:space="preserve"> with</w:t>
      </w:r>
      <w:r w:rsidR="006C5351">
        <w:rPr>
          <w:rFonts w:cstheme="minorHAnsi"/>
          <w:sz w:val="24"/>
          <w:szCs w:val="24"/>
        </w:rPr>
        <w:t xml:space="preserve"> the Center and in Student Affairs</w:t>
      </w:r>
      <w:r>
        <w:rPr>
          <w:rFonts w:cstheme="minorHAnsi"/>
          <w:sz w:val="24"/>
          <w:szCs w:val="24"/>
        </w:rPr>
        <w:t>.</w:t>
      </w:r>
    </w:p>
    <w:p w:rsidR="00B0238B" w:rsidRDefault="00B0238B" w:rsidP="00B0238B">
      <w:pPr>
        <w:pStyle w:val="ListParagraph"/>
        <w:spacing w:after="0"/>
        <w:rPr>
          <w:sz w:val="24"/>
          <w:u w:val="single"/>
        </w:rPr>
      </w:pPr>
    </w:p>
    <w:p w:rsidR="009749FC" w:rsidRPr="009749FC" w:rsidRDefault="00C744E1" w:rsidP="009749FC">
      <w:pPr>
        <w:pStyle w:val="ListParagraph"/>
        <w:numPr>
          <w:ilvl w:val="0"/>
          <w:numId w:val="16"/>
        </w:numPr>
        <w:spacing w:after="0"/>
        <w:rPr>
          <w:b/>
          <w:sz w:val="24"/>
        </w:rPr>
      </w:pPr>
      <w:r w:rsidRPr="00B0238B">
        <w:rPr>
          <w:sz w:val="24"/>
          <w:u w:val="single"/>
        </w:rPr>
        <w:t>Raise Research Profile</w:t>
      </w:r>
      <w:r w:rsidRPr="00B0238B">
        <w:rPr>
          <w:sz w:val="24"/>
        </w:rPr>
        <w:t>:</w:t>
      </w:r>
      <w:r w:rsidRPr="00B0238B">
        <w:rPr>
          <w:b/>
          <w:sz w:val="24"/>
        </w:rPr>
        <w:t xml:space="preserve">  </w:t>
      </w:r>
      <w:r w:rsidR="00822771" w:rsidRPr="00822771">
        <w:rPr>
          <w:sz w:val="24"/>
        </w:rPr>
        <w:t xml:space="preserve">We explicitly embrace the goal of expanding scholarly engagement among students and faculty.  The Research Committee of the Stevenson Center Board is active again.  </w:t>
      </w:r>
      <w:r w:rsidR="00575EE1" w:rsidRPr="00822771">
        <w:rPr>
          <w:sz w:val="24"/>
        </w:rPr>
        <w:t>Faculty engage in applied research, like that for McLean County’s Criminal Justice Coordinating</w:t>
      </w:r>
      <w:r w:rsidR="00575EE1" w:rsidRPr="009749FC">
        <w:rPr>
          <w:sz w:val="24"/>
        </w:rPr>
        <w:t xml:space="preserve"> Council.  Graduate students assist and the work often leads to capstone projects and theses.  These are publishable man</w:t>
      </w:r>
      <w:r w:rsidR="009376F1" w:rsidRPr="009749FC">
        <w:rPr>
          <w:sz w:val="24"/>
        </w:rPr>
        <w:t>uscripts</w:t>
      </w:r>
      <w:r w:rsidR="009749FC">
        <w:rPr>
          <w:sz w:val="24"/>
        </w:rPr>
        <w:t>.</w:t>
      </w:r>
      <w:r w:rsidR="00822771">
        <w:rPr>
          <w:sz w:val="24"/>
        </w:rPr>
        <w:t xml:space="preserve">  We are updating the faculty portion of the website.</w:t>
      </w:r>
    </w:p>
    <w:p w:rsidR="009749FC" w:rsidRDefault="009749FC" w:rsidP="009749FC">
      <w:pPr>
        <w:pStyle w:val="ListParagraph"/>
        <w:spacing w:after="0"/>
        <w:rPr>
          <w:sz w:val="24"/>
        </w:rPr>
      </w:pPr>
    </w:p>
    <w:p w:rsidR="00B0238B" w:rsidRPr="009749FC" w:rsidRDefault="00575EE1" w:rsidP="009749FC">
      <w:pPr>
        <w:pStyle w:val="ListParagraph"/>
        <w:spacing w:after="0"/>
        <w:rPr>
          <w:b/>
          <w:sz w:val="24"/>
        </w:rPr>
      </w:pPr>
      <w:r w:rsidRPr="009749FC">
        <w:rPr>
          <w:sz w:val="24"/>
        </w:rPr>
        <w:t>In sum, w</w:t>
      </w:r>
      <w:r w:rsidR="00B0238B" w:rsidRPr="009749FC">
        <w:rPr>
          <w:sz w:val="24"/>
        </w:rPr>
        <w:t xml:space="preserve">e seek to “increase </w:t>
      </w:r>
      <w:r w:rsidR="00822771">
        <w:rPr>
          <w:sz w:val="24"/>
        </w:rPr>
        <w:t>the number and quality of opportunities that engage students in research with faculty</w:t>
      </w:r>
      <w:r w:rsidR="00BD2E54">
        <w:rPr>
          <w:sz w:val="24"/>
        </w:rPr>
        <w:t>”</w:t>
      </w:r>
      <w:r w:rsidR="00822771">
        <w:rPr>
          <w:sz w:val="24"/>
        </w:rPr>
        <w:t xml:space="preserve"> </w:t>
      </w:r>
      <w:r w:rsidR="00B0238B" w:rsidRPr="009749FC">
        <w:rPr>
          <w:sz w:val="24"/>
          <w:szCs w:val="24"/>
        </w:rPr>
        <w:t>(</w:t>
      </w:r>
      <w:r w:rsidR="00B0238B" w:rsidRPr="00822771">
        <w:rPr>
          <w:sz w:val="24"/>
          <w:szCs w:val="24"/>
        </w:rPr>
        <w:t>E</w:t>
      </w:r>
      <w:r w:rsidR="00822771" w:rsidRPr="00822771">
        <w:rPr>
          <w:sz w:val="24"/>
          <w:szCs w:val="24"/>
        </w:rPr>
        <w:t>EC</w:t>
      </w:r>
      <w:r w:rsidR="00822771">
        <w:rPr>
          <w:sz w:val="24"/>
          <w:szCs w:val="24"/>
        </w:rPr>
        <w:t xml:space="preserve"> </w:t>
      </w:r>
      <w:r w:rsidR="00822771" w:rsidRPr="00822771">
        <w:rPr>
          <w:sz w:val="24"/>
          <w:szCs w:val="24"/>
        </w:rPr>
        <w:t>IV.B.2</w:t>
      </w:r>
      <w:r w:rsidR="00B0238B" w:rsidRPr="009749FC">
        <w:rPr>
          <w:sz w:val="24"/>
          <w:szCs w:val="24"/>
        </w:rPr>
        <w:t>).</w:t>
      </w:r>
    </w:p>
    <w:p w:rsidR="00B0238B" w:rsidRPr="00B0238B" w:rsidRDefault="00B0238B" w:rsidP="00B0238B">
      <w:pPr>
        <w:pStyle w:val="ListParagraph"/>
        <w:spacing w:line="360" w:lineRule="auto"/>
        <w:rPr>
          <w:b/>
          <w:sz w:val="24"/>
        </w:rPr>
      </w:pPr>
    </w:p>
    <w:p w:rsidR="00A006E2" w:rsidRDefault="00A12785" w:rsidP="00243763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b/>
          <w:sz w:val="24"/>
        </w:rPr>
      </w:pPr>
      <w:r w:rsidRPr="00F375A7">
        <w:rPr>
          <w:b/>
          <w:sz w:val="24"/>
        </w:rPr>
        <w:t>PERMANENT FUNDING REQUESTS</w:t>
      </w:r>
    </w:p>
    <w:p w:rsidR="0022192A" w:rsidRDefault="0022192A" w:rsidP="007231A9">
      <w:pPr>
        <w:pStyle w:val="ListParagraph"/>
        <w:spacing w:after="0"/>
        <w:ind w:left="360"/>
        <w:rPr>
          <w:b/>
          <w:sz w:val="24"/>
        </w:rPr>
      </w:pPr>
    </w:p>
    <w:p w:rsidR="00407A58" w:rsidRPr="0022192A" w:rsidRDefault="00767102" w:rsidP="00243763">
      <w:pPr>
        <w:pStyle w:val="ListParagraph"/>
        <w:spacing w:after="0"/>
        <w:ind w:left="360"/>
        <w:rPr>
          <w:sz w:val="24"/>
        </w:rPr>
      </w:pPr>
      <w:r>
        <w:rPr>
          <w:sz w:val="24"/>
        </w:rPr>
        <w:t xml:space="preserve">The items below </w:t>
      </w:r>
      <w:r w:rsidR="009749FC">
        <w:rPr>
          <w:sz w:val="24"/>
        </w:rPr>
        <w:t xml:space="preserve">are </w:t>
      </w:r>
      <w:r>
        <w:rPr>
          <w:sz w:val="24"/>
        </w:rPr>
        <w:t>permanent needs</w:t>
      </w:r>
      <w:r w:rsidR="009749FC">
        <w:rPr>
          <w:sz w:val="24"/>
        </w:rPr>
        <w:t>; we know permanent funding may not be available</w:t>
      </w:r>
      <w:r>
        <w:rPr>
          <w:sz w:val="24"/>
        </w:rPr>
        <w:t>.</w:t>
      </w:r>
    </w:p>
    <w:p w:rsidR="00407A58" w:rsidRPr="00407A58" w:rsidRDefault="00407A58" w:rsidP="00407A58">
      <w:pPr>
        <w:pStyle w:val="ListParagraph"/>
        <w:spacing w:after="0" w:line="240" w:lineRule="auto"/>
        <w:rPr>
          <w:sz w:val="24"/>
        </w:rPr>
      </w:pPr>
    </w:p>
    <w:p w:rsidR="00A006E2" w:rsidRPr="0022192A" w:rsidRDefault="00A006E2" w:rsidP="00243763">
      <w:pPr>
        <w:pStyle w:val="ListParagraph"/>
        <w:numPr>
          <w:ilvl w:val="0"/>
          <w:numId w:val="21"/>
        </w:numPr>
        <w:spacing w:after="0"/>
        <w:rPr>
          <w:sz w:val="24"/>
        </w:rPr>
      </w:pPr>
      <w:r w:rsidRPr="0022192A">
        <w:rPr>
          <w:sz w:val="24"/>
          <w:u w:val="single"/>
        </w:rPr>
        <w:lastRenderedPageBreak/>
        <w:t>Graduate Student Stipends</w:t>
      </w:r>
      <w:r w:rsidRPr="0022192A">
        <w:rPr>
          <w:sz w:val="24"/>
        </w:rPr>
        <w:t xml:space="preserve">:  </w:t>
      </w:r>
      <w:r w:rsidR="00067A19">
        <w:rPr>
          <w:sz w:val="24"/>
        </w:rPr>
        <w:t xml:space="preserve">A strong financial package </w:t>
      </w:r>
      <w:r w:rsidR="00E96A2C">
        <w:rPr>
          <w:sz w:val="24"/>
        </w:rPr>
        <w:t>i</w:t>
      </w:r>
      <w:r w:rsidR="00067A19">
        <w:rPr>
          <w:sz w:val="24"/>
        </w:rPr>
        <w:t xml:space="preserve">s key to </w:t>
      </w:r>
      <w:r w:rsidR="005162E5">
        <w:rPr>
          <w:sz w:val="24"/>
        </w:rPr>
        <w:t xml:space="preserve">graduate student </w:t>
      </w:r>
      <w:r w:rsidR="00067A19">
        <w:rPr>
          <w:sz w:val="24"/>
        </w:rPr>
        <w:t>recruitment and stronger graduate programs</w:t>
      </w:r>
      <w:r w:rsidR="00E96A2C">
        <w:rPr>
          <w:sz w:val="24"/>
        </w:rPr>
        <w:t xml:space="preserve"> (EEC I.A.4)</w:t>
      </w:r>
      <w:r w:rsidR="00067A19">
        <w:rPr>
          <w:sz w:val="24"/>
        </w:rPr>
        <w:t xml:space="preserve">.  </w:t>
      </w:r>
      <w:r w:rsidRPr="0022192A">
        <w:rPr>
          <w:sz w:val="24"/>
        </w:rPr>
        <w:t>At one time</w:t>
      </w:r>
      <w:r w:rsidR="00067A19">
        <w:rPr>
          <w:sz w:val="24"/>
        </w:rPr>
        <w:t>,</w:t>
      </w:r>
      <w:r w:rsidRPr="0022192A">
        <w:rPr>
          <w:sz w:val="24"/>
        </w:rPr>
        <w:t xml:space="preserve"> the Center received enoug</w:t>
      </w:r>
      <w:r w:rsidR="00067A19">
        <w:rPr>
          <w:sz w:val="24"/>
        </w:rPr>
        <w:t>h General Revenue funds to</w:t>
      </w:r>
      <w:r w:rsidRPr="0022192A">
        <w:rPr>
          <w:sz w:val="24"/>
        </w:rPr>
        <w:t xml:space="preserve"> cover two paid gr</w:t>
      </w:r>
      <w:r w:rsidR="005162E5">
        <w:rPr>
          <w:sz w:val="24"/>
        </w:rPr>
        <w:t>aduate assistants in each of</w:t>
      </w:r>
      <w:r w:rsidRPr="0022192A">
        <w:rPr>
          <w:sz w:val="24"/>
        </w:rPr>
        <w:t xml:space="preserve"> three affiliated departments.  Those funds did not </w:t>
      </w:r>
      <w:r w:rsidR="00575EE1">
        <w:rPr>
          <w:sz w:val="24"/>
        </w:rPr>
        <w:t>i</w:t>
      </w:r>
      <w:r w:rsidRPr="0022192A">
        <w:rPr>
          <w:sz w:val="24"/>
        </w:rPr>
        <w:t xml:space="preserve">ncrease in five fiscal years.  </w:t>
      </w:r>
      <w:r w:rsidR="00754D8A">
        <w:rPr>
          <w:sz w:val="24"/>
        </w:rPr>
        <w:t xml:space="preserve">Including the expected </w:t>
      </w:r>
      <w:r w:rsidR="009749FC">
        <w:rPr>
          <w:sz w:val="24"/>
        </w:rPr>
        <w:t>2% increase to stipends</w:t>
      </w:r>
      <w:r w:rsidR="007231A9">
        <w:rPr>
          <w:sz w:val="24"/>
        </w:rPr>
        <w:t xml:space="preserve"> in Fiscal Year 20</w:t>
      </w:r>
      <w:r w:rsidR="00754D8A">
        <w:rPr>
          <w:sz w:val="24"/>
        </w:rPr>
        <w:t>20</w:t>
      </w:r>
      <w:r w:rsidR="009749FC">
        <w:rPr>
          <w:sz w:val="24"/>
        </w:rPr>
        <w:t>, t</w:t>
      </w:r>
      <w:r w:rsidRPr="0022192A">
        <w:rPr>
          <w:sz w:val="24"/>
        </w:rPr>
        <w:t xml:space="preserve">he </w:t>
      </w:r>
      <w:r w:rsidR="009749FC">
        <w:rPr>
          <w:sz w:val="24"/>
        </w:rPr>
        <w:t>shortfall</w:t>
      </w:r>
      <w:r w:rsidRPr="0022192A">
        <w:rPr>
          <w:sz w:val="24"/>
        </w:rPr>
        <w:t xml:space="preserve"> between the </w:t>
      </w:r>
      <w:r w:rsidR="00776820">
        <w:rPr>
          <w:sz w:val="24"/>
        </w:rPr>
        <w:t xml:space="preserve">permanent amount </w:t>
      </w:r>
      <w:r w:rsidRPr="0022192A">
        <w:rPr>
          <w:sz w:val="24"/>
        </w:rPr>
        <w:t>and that needed to fully fund</w:t>
      </w:r>
      <w:r w:rsidR="00D66A8F">
        <w:rPr>
          <w:sz w:val="24"/>
        </w:rPr>
        <w:t xml:space="preserve"> two graduate a</w:t>
      </w:r>
      <w:r w:rsidR="005162E5">
        <w:rPr>
          <w:sz w:val="24"/>
        </w:rPr>
        <w:t>ssistants in ECO, POL, and SOA</w:t>
      </w:r>
      <w:r w:rsidR="007231A9">
        <w:rPr>
          <w:sz w:val="24"/>
        </w:rPr>
        <w:t xml:space="preserve"> </w:t>
      </w:r>
      <w:r w:rsidR="001F44F8">
        <w:rPr>
          <w:sz w:val="24"/>
        </w:rPr>
        <w:t>is</w:t>
      </w:r>
      <w:r w:rsidR="007231A9">
        <w:rPr>
          <w:sz w:val="24"/>
        </w:rPr>
        <w:t xml:space="preserve"> </w:t>
      </w:r>
      <w:r w:rsidRPr="0022192A">
        <w:rPr>
          <w:sz w:val="24"/>
        </w:rPr>
        <w:t xml:space="preserve">= </w:t>
      </w:r>
      <w:r w:rsidR="00754D8A">
        <w:rPr>
          <w:b/>
          <w:sz w:val="24"/>
        </w:rPr>
        <w:t>$11,088</w:t>
      </w:r>
      <w:r w:rsidRPr="0022192A">
        <w:rPr>
          <w:sz w:val="24"/>
        </w:rPr>
        <w:t>.</w:t>
      </w:r>
    </w:p>
    <w:p w:rsidR="00A006E2" w:rsidRPr="0022192A" w:rsidRDefault="00A006E2" w:rsidP="00243763">
      <w:pPr>
        <w:pStyle w:val="ListParagraph"/>
        <w:spacing w:after="0"/>
        <w:rPr>
          <w:sz w:val="24"/>
        </w:rPr>
      </w:pPr>
    </w:p>
    <w:p w:rsidR="00A006E2" w:rsidRDefault="00A006E2" w:rsidP="00243763">
      <w:pPr>
        <w:pStyle w:val="ListParagraph"/>
        <w:numPr>
          <w:ilvl w:val="0"/>
          <w:numId w:val="21"/>
        </w:numPr>
        <w:spacing w:after="0"/>
        <w:rPr>
          <w:sz w:val="24"/>
        </w:rPr>
      </w:pPr>
      <w:r w:rsidRPr="0022192A">
        <w:rPr>
          <w:sz w:val="24"/>
          <w:u w:val="single"/>
        </w:rPr>
        <w:t>Director’s S</w:t>
      </w:r>
      <w:r w:rsidR="00BD2E54">
        <w:rPr>
          <w:sz w:val="24"/>
          <w:u w:val="single"/>
        </w:rPr>
        <w:t>ummer Salary</w:t>
      </w:r>
      <w:r w:rsidRPr="0022192A">
        <w:rPr>
          <w:sz w:val="24"/>
        </w:rPr>
        <w:t xml:space="preserve">:  Thanks to the generosity of Academic Affairs, the Stevenson Center Director received 1.5 months of summer funding for each of the last </w:t>
      </w:r>
      <w:r w:rsidR="007231A9">
        <w:rPr>
          <w:sz w:val="24"/>
        </w:rPr>
        <w:t>nine</w:t>
      </w:r>
      <w:r w:rsidRPr="0022192A">
        <w:rPr>
          <w:sz w:val="24"/>
        </w:rPr>
        <w:t xml:space="preserve"> years.  </w:t>
      </w:r>
      <w:r w:rsidRPr="005162E5">
        <w:rPr>
          <w:i/>
          <w:sz w:val="24"/>
        </w:rPr>
        <w:t>Thank you</w:t>
      </w:r>
      <w:r w:rsidRPr="0022192A">
        <w:rPr>
          <w:sz w:val="24"/>
        </w:rPr>
        <w:t xml:space="preserve">.  In support of the Stevenson Center’s mission, the Center’s students, and growth of the program, the director works throughout the academic year.  One course release each semester is provided by </w:t>
      </w:r>
      <w:r w:rsidR="003D6A05">
        <w:rPr>
          <w:sz w:val="24"/>
        </w:rPr>
        <w:t xml:space="preserve">our </w:t>
      </w:r>
      <w:r w:rsidRPr="0022192A">
        <w:rPr>
          <w:sz w:val="24"/>
        </w:rPr>
        <w:t>affiliated departments.  The director secures external fundin</w:t>
      </w:r>
      <w:r w:rsidR="00407A58">
        <w:rPr>
          <w:sz w:val="24"/>
        </w:rPr>
        <w:t>g such that half of the summer</w:t>
      </w:r>
      <w:r w:rsidRPr="0022192A">
        <w:rPr>
          <w:sz w:val="24"/>
        </w:rPr>
        <w:t xml:space="preserve"> is covered.  We request that Academic Affairs </w:t>
      </w:r>
      <w:r w:rsidR="000625AB">
        <w:rPr>
          <w:sz w:val="24"/>
        </w:rPr>
        <w:t>provide permanent</w:t>
      </w:r>
      <w:r w:rsidRPr="0022192A">
        <w:rPr>
          <w:sz w:val="24"/>
        </w:rPr>
        <w:t xml:space="preserve"> funds, covering the other 1.5 months of summer salary.  For Fiscal Year </w:t>
      </w:r>
      <w:r w:rsidR="00641D04">
        <w:rPr>
          <w:sz w:val="24"/>
        </w:rPr>
        <w:t>2020</w:t>
      </w:r>
      <w:r w:rsidR="00BE20C3">
        <w:rPr>
          <w:sz w:val="24"/>
        </w:rPr>
        <w:t>, the cost is $</w:t>
      </w:r>
      <w:r w:rsidR="009E7EA9">
        <w:rPr>
          <w:sz w:val="24"/>
        </w:rPr>
        <w:t>8,352</w:t>
      </w:r>
      <w:r w:rsidRPr="0022192A">
        <w:rPr>
          <w:sz w:val="24"/>
        </w:rPr>
        <w:t xml:space="preserve"> x 1.5 = </w:t>
      </w:r>
      <w:r w:rsidR="00754D8A">
        <w:rPr>
          <w:b/>
          <w:sz w:val="24"/>
        </w:rPr>
        <w:t>$</w:t>
      </w:r>
      <w:r w:rsidR="009E7EA9">
        <w:rPr>
          <w:b/>
          <w:sz w:val="24"/>
        </w:rPr>
        <w:t>12,528</w:t>
      </w:r>
      <w:r w:rsidRPr="0022192A">
        <w:rPr>
          <w:sz w:val="24"/>
        </w:rPr>
        <w:t>.</w:t>
      </w:r>
    </w:p>
    <w:p w:rsidR="000625AB" w:rsidRPr="000625AB" w:rsidRDefault="000625AB" w:rsidP="00B0238B">
      <w:pPr>
        <w:pStyle w:val="ListParagraph"/>
        <w:spacing w:line="360" w:lineRule="auto"/>
        <w:rPr>
          <w:sz w:val="24"/>
        </w:rPr>
      </w:pPr>
    </w:p>
    <w:p w:rsidR="00704439" w:rsidRDefault="004660AD" w:rsidP="00243763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b/>
          <w:sz w:val="24"/>
        </w:rPr>
      </w:pPr>
      <w:r>
        <w:rPr>
          <w:b/>
          <w:sz w:val="24"/>
        </w:rPr>
        <w:t>STRATE</w:t>
      </w:r>
      <w:r w:rsidR="00704439" w:rsidRPr="004660AD">
        <w:rPr>
          <w:b/>
          <w:sz w:val="24"/>
        </w:rPr>
        <w:t>GIC BUDGETED CARRYOVER</w:t>
      </w:r>
      <w:r w:rsidR="00704439" w:rsidRPr="004660AD">
        <w:rPr>
          <w:b/>
          <w:sz w:val="24"/>
        </w:rPr>
        <w:tab/>
      </w:r>
    </w:p>
    <w:p w:rsidR="009E7EA9" w:rsidRDefault="009E7EA9" w:rsidP="009E7EA9">
      <w:pPr>
        <w:spacing w:after="0" w:line="240" w:lineRule="auto"/>
        <w:rPr>
          <w:sz w:val="24"/>
        </w:rPr>
      </w:pPr>
    </w:p>
    <w:p w:rsidR="007231A9" w:rsidRDefault="009E7EA9" w:rsidP="00641D04">
      <w:pPr>
        <w:spacing w:after="0"/>
        <w:ind w:left="360"/>
        <w:rPr>
          <w:sz w:val="24"/>
        </w:rPr>
      </w:pPr>
      <w:r>
        <w:rPr>
          <w:sz w:val="24"/>
        </w:rPr>
        <w:t>Due to a transfer of agency account funds to General Revenue on 02/21/2019, per the Budget</w:t>
      </w:r>
      <w:r w:rsidR="00641D04">
        <w:rPr>
          <w:sz w:val="24"/>
        </w:rPr>
        <w:t xml:space="preserve"> </w:t>
      </w:r>
      <w:r>
        <w:rPr>
          <w:sz w:val="24"/>
        </w:rPr>
        <w:t xml:space="preserve">Office, we need to SBC </w:t>
      </w:r>
      <w:r w:rsidRPr="009E7EA9">
        <w:rPr>
          <w:b/>
          <w:sz w:val="24"/>
        </w:rPr>
        <w:t>$14,732</w:t>
      </w:r>
      <w:r w:rsidR="00641D04">
        <w:rPr>
          <w:sz w:val="24"/>
        </w:rPr>
        <w:t xml:space="preserve"> to Fiscal Year 2020.</w:t>
      </w:r>
    </w:p>
    <w:p w:rsidR="009E7EA9" w:rsidRPr="007231A9" w:rsidRDefault="009E7EA9" w:rsidP="009E7EA9">
      <w:pPr>
        <w:spacing w:after="0"/>
        <w:rPr>
          <w:sz w:val="24"/>
        </w:rPr>
      </w:pPr>
    </w:p>
    <w:p w:rsidR="00704439" w:rsidRPr="00F375A7" w:rsidRDefault="00704439" w:rsidP="009749FC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b/>
          <w:sz w:val="24"/>
        </w:rPr>
      </w:pPr>
      <w:r w:rsidRPr="00F375A7">
        <w:rPr>
          <w:b/>
          <w:sz w:val="24"/>
        </w:rPr>
        <w:t>PROVOST ENHANCEMENT REQUESTS</w:t>
      </w:r>
    </w:p>
    <w:p w:rsidR="0010689A" w:rsidRPr="00F375A7" w:rsidRDefault="0010689A" w:rsidP="00E46F7D">
      <w:pPr>
        <w:spacing w:after="0" w:line="240" w:lineRule="auto"/>
        <w:rPr>
          <w:b/>
          <w:sz w:val="24"/>
        </w:rPr>
      </w:pPr>
    </w:p>
    <w:p w:rsidR="009749FC" w:rsidRDefault="005F7A13" w:rsidP="009749FC">
      <w:pPr>
        <w:pStyle w:val="ListParagraph"/>
        <w:spacing w:after="0"/>
        <w:ind w:left="360"/>
        <w:rPr>
          <w:sz w:val="24"/>
        </w:rPr>
      </w:pPr>
      <w:r w:rsidRPr="005F7A13">
        <w:rPr>
          <w:sz w:val="24"/>
        </w:rPr>
        <w:t>Support for graduate students and our affiliated departments is the Stevenson Center’s first priority.</w:t>
      </w:r>
    </w:p>
    <w:p w:rsidR="005F7A13" w:rsidRPr="009749FC" w:rsidRDefault="005F7A13" w:rsidP="009749FC">
      <w:pPr>
        <w:pStyle w:val="ListParagraph"/>
        <w:spacing w:after="0"/>
        <w:ind w:left="360"/>
        <w:rPr>
          <w:sz w:val="24"/>
        </w:rPr>
      </w:pPr>
    </w:p>
    <w:p w:rsidR="007231A9" w:rsidRPr="0022192A" w:rsidRDefault="009E7EA9" w:rsidP="006E4EA2">
      <w:pPr>
        <w:pStyle w:val="ListParagraph"/>
        <w:numPr>
          <w:ilvl w:val="0"/>
          <w:numId w:val="23"/>
        </w:numPr>
        <w:spacing w:after="0"/>
        <w:rPr>
          <w:sz w:val="24"/>
        </w:rPr>
      </w:pPr>
      <w:r w:rsidRPr="0022192A">
        <w:rPr>
          <w:sz w:val="24"/>
          <w:u w:val="single"/>
        </w:rPr>
        <w:t>Graduate Student Stipends</w:t>
      </w:r>
      <w:r w:rsidRPr="0022192A">
        <w:rPr>
          <w:sz w:val="24"/>
        </w:rPr>
        <w:t xml:space="preserve">:  </w:t>
      </w:r>
      <w:r w:rsidR="00641D04">
        <w:rPr>
          <w:sz w:val="24"/>
        </w:rPr>
        <w:t xml:space="preserve">A strong financial package is key to graduate student recruitment and stronger graduate programs (EEC I.A.4).  </w:t>
      </w:r>
      <w:r w:rsidRPr="0022192A">
        <w:rPr>
          <w:sz w:val="24"/>
        </w:rPr>
        <w:t>At one time</w:t>
      </w:r>
      <w:r>
        <w:rPr>
          <w:sz w:val="24"/>
        </w:rPr>
        <w:t>,</w:t>
      </w:r>
      <w:r w:rsidRPr="0022192A">
        <w:rPr>
          <w:sz w:val="24"/>
        </w:rPr>
        <w:t xml:space="preserve"> the Center received enoug</w:t>
      </w:r>
      <w:r>
        <w:rPr>
          <w:sz w:val="24"/>
        </w:rPr>
        <w:t>h General Revenue funds to</w:t>
      </w:r>
      <w:r w:rsidRPr="0022192A">
        <w:rPr>
          <w:sz w:val="24"/>
        </w:rPr>
        <w:t xml:space="preserve"> cover two paid gr</w:t>
      </w:r>
      <w:r>
        <w:rPr>
          <w:sz w:val="24"/>
        </w:rPr>
        <w:t>aduate assistants in each of</w:t>
      </w:r>
      <w:r w:rsidRPr="0022192A">
        <w:rPr>
          <w:sz w:val="24"/>
        </w:rPr>
        <w:t xml:space="preserve"> three affiliated departments.  Those funds did not </w:t>
      </w:r>
      <w:r>
        <w:rPr>
          <w:sz w:val="24"/>
        </w:rPr>
        <w:t>i</w:t>
      </w:r>
      <w:r w:rsidRPr="0022192A">
        <w:rPr>
          <w:sz w:val="24"/>
        </w:rPr>
        <w:t xml:space="preserve">ncrease in five fiscal years.  </w:t>
      </w:r>
      <w:r>
        <w:rPr>
          <w:sz w:val="24"/>
        </w:rPr>
        <w:t>Including the expected 2% increase to stipends in Fiscal Year 2020, t</w:t>
      </w:r>
      <w:r w:rsidRPr="0022192A">
        <w:rPr>
          <w:sz w:val="24"/>
        </w:rPr>
        <w:t xml:space="preserve">he </w:t>
      </w:r>
      <w:r>
        <w:rPr>
          <w:sz w:val="24"/>
        </w:rPr>
        <w:t>shortfall</w:t>
      </w:r>
      <w:r w:rsidRPr="0022192A">
        <w:rPr>
          <w:sz w:val="24"/>
        </w:rPr>
        <w:t xml:space="preserve"> between the </w:t>
      </w:r>
      <w:r>
        <w:rPr>
          <w:sz w:val="24"/>
        </w:rPr>
        <w:t xml:space="preserve">permanent amount </w:t>
      </w:r>
      <w:r w:rsidRPr="0022192A">
        <w:rPr>
          <w:sz w:val="24"/>
        </w:rPr>
        <w:t>and that needed to fully fund</w:t>
      </w:r>
      <w:r>
        <w:rPr>
          <w:sz w:val="24"/>
        </w:rPr>
        <w:t xml:space="preserve"> two graduate assistants in ECO, POL, and SOA is </w:t>
      </w:r>
      <w:r w:rsidRPr="0022192A">
        <w:rPr>
          <w:sz w:val="24"/>
        </w:rPr>
        <w:t xml:space="preserve">= </w:t>
      </w:r>
      <w:r>
        <w:rPr>
          <w:b/>
          <w:sz w:val="24"/>
        </w:rPr>
        <w:t>$11,088</w:t>
      </w:r>
      <w:r w:rsidRPr="0022192A">
        <w:rPr>
          <w:sz w:val="24"/>
        </w:rPr>
        <w:t>.</w:t>
      </w:r>
    </w:p>
    <w:p w:rsidR="007231A9" w:rsidRPr="0022192A" w:rsidRDefault="007231A9" w:rsidP="007231A9">
      <w:pPr>
        <w:pStyle w:val="ListParagraph"/>
        <w:spacing w:after="0"/>
        <w:rPr>
          <w:sz w:val="24"/>
        </w:rPr>
      </w:pPr>
    </w:p>
    <w:p w:rsidR="007231A9" w:rsidRDefault="009E7EA9" w:rsidP="006E4EA2">
      <w:pPr>
        <w:pStyle w:val="ListParagraph"/>
        <w:numPr>
          <w:ilvl w:val="0"/>
          <w:numId w:val="23"/>
        </w:numPr>
        <w:spacing w:after="0"/>
        <w:rPr>
          <w:sz w:val="24"/>
        </w:rPr>
      </w:pPr>
      <w:r w:rsidRPr="0022192A">
        <w:rPr>
          <w:sz w:val="24"/>
          <w:u w:val="single"/>
        </w:rPr>
        <w:t>Director’s Stipend</w:t>
      </w:r>
      <w:r w:rsidRPr="0022192A">
        <w:rPr>
          <w:sz w:val="24"/>
        </w:rPr>
        <w:t xml:space="preserve">:  Thanks to the generosity of Academic Affairs, the Stevenson Center Director received 1.5 months of summer funding for each of the last </w:t>
      </w:r>
      <w:r>
        <w:rPr>
          <w:sz w:val="24"/>
        </w:rPr>
        <w:t>nine</w:t>
      </w:r>
      <w:r w:rsidRPr="0022192A">
        <w:rPr>
          <w:sz w:val="24"/>
        </w:rPr>
        <w:t xml:space="preserve"> years.  </w:t>
      </w:r>
      <w:r w:rsidRPr="005162E5">
        <w:rPr>
          <w:i/>
          <w:sz w:val="24"/>
        </w:rPr>
        <w:t>Thank you</w:t>
      </w:r>
      <w:r w:rsidRPr="0022192A">
        <w:rPr>
          <w:sz w:val="24"/>
        </w:rPr>
        <w:t xml:space="preserve">.  In support of the Stevenson Center’s mission, the Center’s students, and growth of </w:t>
      </w:r>
      <w:r w:rsidRPr="0022192A">
        <w:rPr>
          <w:sz w:val="24"/>
        </w:rPr>
        <w:lastRenderedPageBreak/>
        <w:t xml:space="preserve">the program, the director works throughout the academic year.  One course release each semester is provided by </w:t>
      </w:r>
      <w:r>
        <w:rPr>
          <w:sz w:val="24"/>
        </w:rPr>
        <w:t xml:space="preserve">our </w:t>
      </w:r>
      <w:r w:rsidRPr="0022192A">
        <w:rPr>
          <w:sz w:val="24"/>
        </w:rPr>
        <w:t>affiliated departments.  The director secures external fundin</w:t>
      </w:r>
      <w:r>
        <w:rPr>
          <w:sz w:val="24"/>
        </w:rPr>
        <w:t>g such that half of the summer</w:t>
      </w:r>
      <w:r w:rsidRPr="0022192A">
        <w:rPr>
          <w:sz w:val="24"/>
        </w:rPr>
        <w:t xml:space="preserve"> is covered.  We request that Academic Affairs </w:t>
      </w:r>
      <w:r>
        <w:rPr>
          <w:sz w:val="24"/>
        </w:rPr>
        <w:t xml:space="preserve">provide </w:t>
      </w:r>
      <w:r w:rsidR="00641D04">
        <w:rPr>
          <w:sz w:val="24"/>
        </w:rPr>
        <w:t>enhancement</w:t>
      </w:r>
      <w:r w:rsidRPr="0022192A">
        <w:rPr>
          <w:sz w:val="24"/>
        </w:rPr>
        <w:t xml:space="preserve"> funds, covering the other 1.5 months of summer salary.  For Fiscal Year </w:t>
      </w:r>
      <w:r w:rsidR="00641D04">
        <w:rPr>
          <w:sz w:val="24"/>
        </w:rPr>
        <w:t>2020</w:t>
      </w:r>
      <w:r>
        <w:rPr>
          <w:sz w:val="24"/>
        </w:rPr>
        <w:t>, the cost is $8,352</w:t>
      </w:r>
      <w:r w:rsidRPr="0022192A">
        <w:rPr>
          <w:sz w:val="24"/>
        </w:rPr>
        <w:t xml:space="preserve"> x 1.5 = </w:t>
      </w:r>
      <w:r>
        <w:rPr>
          <w:b/>
          <w:sz w:val="24"/>
        </w:rPr>
        <w:t>$12,528</w:t>
      </w:r>
      <w:r w:rsidRPr="0022192A">
        <w:rPr>
          <w:sz w:val="24"/>
        </w:rPr>
        <w:t>.</w:t>
      </w:r>
    </w:p>
    <w:p w:rsidR="000F5D71" w:rsidRPr="00F375A7" w:rsidRDefault="000F5D71" w:rsidP="000F5D71">
      <w:pPr>
        <w:spacing w:after="0" w:line="240" w:lineRule="auto"/>
        <w:rPr>
          <w:sz w:val="24"/>
        </w:rPr>
      </w:pPr>
    </w:p>
    <w:p w:rsidR="00486D76" w:rsidRDefault="00486D76" w:rsidP="00243763">
      <w:pPr>
        <w:pStyle w:val="ListParagraph"/>
        <w:numPr>
          <w:ilvl w:val="0"/>
          <w:numId w:val="18"/>
        </w:numPr>
        <w:tabs>
          <w:tab w:val="left" w:pos="6120"/>
        </w:tabs>
        <w:spacing w:after="0" w:line="240" w:lineRule="auto"/>
        <w:ind w:left="360"/>
        <w:rPr>
          <w:b/>
          <w:sz w:val="24"/>
        </w:rPr>
      </w:pPr>
      <w:r>
        <w:rPr>
          <w:b/>
          <w:sz w:val="24"/>
        </w:rPr>
        <w:t>BASE INSTRUCTIONAL CAPACITY REQUEST</w:t>
      </w:r>
    </w:p>
    <w:p w:rsidR="00486D76" w:rsidRDefault="00486D76" w:rsidP="00486D76">
      <w:pPr>
        <w:pStyle w:val="ListParagraph"/>
        <w:tabs>
          <w:tab w:val="left" w:pos="6120"/>
        </w:tabs>
        <w:spacing w:after="0" w:line="240" w:lineRule="auto"/>
        <w:ind w:left="360"/>
        <w:rPr>
          <w:b/>
          <w:sz w:val="24"/>
        </w:rPr>
      </w:pPr>
    </w:p>
    <w:p w:rsidR="00486D76" w:rsidRDefault="00486D76" w:rsidP="00243763">
      <w:pPr>
        <w:pStyle w:val="ListParagraph"/>
        <w:numPr>
          <w:ilvl w:val="0"/>
          <w:numId w:val="18"/>
        </w:numPr>
        <w:tabs>
          <w:tab w:val="left" w:pos="6120"/>
        </w:tabs>
        <w:spacing w:after="0" w:line="240" w:lineRule="auto"/>
        <w:ind w:left="360"/>
        <w:rPr>
          <w:b/>
          <w:sz w:val="24"/>
        </w:rPr>
      </w:pPr>
      <w:r>
        <w:rPr>
          <w:b/>
          <w:sz w:val="24"/>
        </w:rPr>
        <w:t>SUPPLEMENTAL INSTRUCTIONAL CAPACITY REQUEST</w:t>
      </w:r>
    </w:p>
    <w:p w:rsidR="00486D76" w:rsidRDefault="00486D76" w:rsidP="00486D76">
      <w:pPr>
        <w:pStyle w:val="ListParagraph"/>
        <w:tabs>
          <w:tab w:val="left" w:pos="6120"/>
        </w:tabs>
        <w:spacing w:after="0" w:line="240" w:lineRule="auto"/>
        <w:ind w:left="360"/>
        <w:rPr>
          <w:b/>
          <w:sz w:val="24"/>
        </w:rPr>
      </w:pPr>
    </w:p>
    <w:p w:rsidR="00704439" w:rsidRPr="00F375A7" w:rsidRDefault="00704439" w:rsidP="00243763">
      <w:pPr>
        <w:pStyle w:val="ListParagraph"/>
        <w:numPr>
          <w:ilvl w:val="0"/>
          <w:numId w:val="18"/>
        </w:numPr>
        <w:tabs>
          <w:tab w:val="left" w:pos="6120"/>
        </w:tabs>
        <w:spacing w:after="0" w:line="240" w:lineRule="auto"/>
        <w:ind w:left="360"/>
        <w:rPr>
          <w:b/>
          <w:sz w:val="24"/>
        </w:rPr>
      </w:pPr>
      <w:r w:rsidRPr="00F375A7">
        <w:rPr>
          <w:b/>
          <w:sz w:val="24"/>
        </w:rPr>
        <w:t>PERSONNEL RE</w:t>
      </w:r>
      <w:r w:rsidR="007960A3">
        <w:rPr>
          <w:b/>
          <w:sz w:val="24"/>
        </w:rPr>
        <w:t>QUESTS—NEW TENURE TRACK FACULTY</w:t>
      </w:r>
    </w:p>
    <w:p w:rsidR="002C2075" w:rsidRPr="00F375A7" w:rsidRDefault="002C2075" w:rsidP="00E46F7D">
      <w:pPr>
        <w:spacing w:after="0" w:line="240" w:lineRule="auto"/>
        <w:rPr>
          <w:sz w:val="24"/>
        </w:rPr>
      </w:pPr>
    </w:p>
    <w:p w:rsidR="00704439" w:rsidRDefault="00704439" w:rsidP="007960A3">
      <w:pPr>
        <w:pStyle w:val="ListParagraph"/>
        <w:numPr>
          <w:ilvl w:val="0"/>
          <w:numId w:val="18"/>
        </w:numPr>
        <w:tabs>
          <w:tab w:val="left" w:pos="7740"/>
        </w:tabs>
        <w:spacing w:after="0" w:line="240" w:lineRule="auto"/>
        <w:ind w:left="360"/>
        <w:rPr>
          <w:b/>
          <w:sz w:val="24"/>
        </w:rPr>
      </w:pPr>
      <w:r w:rsidRPr="00F375A7">
        <w:rPr>
          <w:b/>
          <w:sz w:val="24"/>
        </w:rPr>
        <w:t>PERSONNEL REQUESTS—TENURE TRACK FACULTY, NON-REAPPOINTMENT</w:t>
      </w:r>
      <w:r w:rsidRPr="00F375A7">
        <w:rPr>
          <w:b/>
          <w:sz w:val="24"/>
        </w:rPr>
        <w:tab/>
      </w:r>
    </w:p>
    <w:p w:rsidR="00D175EC" w:rsidRPr="00D175EC" w:rsidRDefault="00D175EC" w:rsidP="00D175EC">
      <w:pPr>
        <w:pStyle w:val="ListParagraph"/>
        <w:rPr>
          <w:b/>
          <w:sz w:val="24"/>
        </w:rPr>
      </w:pPr>
    </w:p>
    <w:p w:rsidR="00D175EC" w:rsidRPr="007960A3" w:rsidRDefault="00D175EC" w:rsidP="007960A3">
      <w:pPr>
        <w:pStyle w:val="ListParagraph"/>
        <w:numPr>
          <w:ilvl w:val="0"/>
          <w:numId w:val="18"/>
        </w:numPr>
        <w:tabs>
          <w:tab w:val="left" w:pos="7740"/>
        </w:tabs>
        <w:spacing w:after="0" w:line="240" w:lineRule="auto"/>
        <w:ind w:left="360"/>
        <w:rPr>
          <w:b/>
          <w:sz w:val="24"/>
        </w:rPr>
      </w:pPr>
      <w:r w:rsidRPr="00F375A7">
        <w:rPr>
          <w:b/>
          <w:sz w:val="24"/>
        </w:rPr>
        <w:t>PERSONNEL REQUESTS—</w:t>
      </w:r>
      <w:r>
        <w:rPr>
          <w:b/>
          <w:sz w:val="24"/>
        </w:rPr>
        <w:t>NON-</w:t>
      </w:r>
      <w:r w:rsidRPr="00F375A7">
        <w:rPr>
          <w:b/>
          <w:sz w:val="24"/>
        </w:rPr>
        <w:t>TENURE TRACK FACULTY, NON-REAPPOINTMENT</w:t>
      </w:r>
      <w:r w:rsidRPr="00F375A7">
        <w:rPr>
          <w:b/>
          <w:sz w:val="24"/>
        </w:rPr>
        <w:tab/>
      </w:r>
    </w:p>
    <w:sectPr w:rsidR="00D175EC" w:rsidRPr="007960A3" w:rsidSect="002C4221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6E7" w:rsidRDefault="003526E7" w:rsidP="00331FA8">
      <w:pPr>
        <w:spacing w:after="0" w:line="240" w:lineRule="auto"/>
      </w:pPr>
      <w:r>
        <w:separator/>
      </w:r>
    </w:p>
  </w:endnote>
  <w:endnote w:type="continuationSeparator" w:id="0">
    <w:p w:rsidR="003526E7" w:rsidRDefault="003526E7" w:rsidP="0033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6E7" w:rsidRPr="00C55B36" w:rsidRDefault="003526E7" w:rsidP="002C4221">
    <w:pPr>
      <w:pStyle w:val="Footer"/>
      <w:pBdr>
        <w:top w:val="thinThickSmallGap" w:sz="24" w:space="1" w:color="622423" w:themeColor="accent2" w:themeShade="7F"/>
      </w:pBdr>
      <w:rPr>
        <w:rFonts w:cstheme="minorHAnsi"/>
        <w:sz w:val="20"/>
        <w:szCs w:val="18"/>
      </w:rPr>
    </w:pPr>
    <w:r w:rsidRPr="00C55B36">
      <w:rPr>
        <w:rFonts w:cstheme="minorHAnsi"/>
        <w:sz w:val="20"/>
        <w:szCs w:val="18"/>
      </w:rPr>
      <w:t>Stevenson Center for Community and Economic Development</w:t>
    </w:r>
  </w:p>
  <w:p w:rsidR="003526E7" w:rsidRPr="002C4221" w:rsidRDefault="003526E7" w:rsidP="002C4221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  <w:sz w:val="20"/>
        <w:szCs w:val="20"/>
      </w:rPr>
    </w:pPr>
    <w:r w:rsidRPr="00C55B36">
      <w:rPr>
        <w:rFonts w:cstheme="minorHAnsi"/>
        <w:sz w:val="20"/>
        <w:szCs w:val="18"/>
      </w:rPr>
      <w:t xml:space="preserve">Fiscal Year </w:t>
    </w:r>
    <w:r w:rsidR="00641D04">
      <w:rPr>
        <w:rFonts w:cstheme="minorHAnsi"/>
        <w:sz w:val="20"/>
        <w:szCs w:val="18"/>
      </w:rPr>
      <w:t>2020</w:t>
    </w:r>
    <w:r>
      <w:rPr>
        <w:rFonts w:cstheme="minorHAnsi"/>
        <w:sz w:val="20"/>
        <w:szCs w:val="18"/>
      </w:rPr>
      <w:t xml:space="preserve"> Planning Document</w:t>
    </w:r>
    <w:r w:rsidRPr="002C4221">
      <w:rPr>
        <w:rFonts w:cstheme="minorHAnsi"/>
        <w:sz w:val="20"/>
        <w:szCs w:val="20"/>
      </w:rPr>
      <w:ptab w:relativeTo="margin" w:alignment="right" w:leader="none"/>
    </w:r>
    <w:r w:rsidRPr="002C4221">
      <w:rPr>
        <w:rFonts w:eastAsiaTheme="majorEastAsia" w:cstheme="majorBidi"/>
        <w:sz w:val="20"/>
        <w:szCs w:val="20"/>
      </w:rPr>
      <w:t xml:space="preserve">Page </w:t>
    </w:r>
    <w:r w:rsidR="0026754C" w:rsidRPr="002C4221">
      <w:rPr>
        <w:sz w:val="20"/>
        <w:szCs w:val="20"/>
      </w:rPr>
      <w:fldChar w:fldCharType="begin"/>
    </w:r>
    <w:r w:rsidRPr="002C4221">
      <w:rPr>
        <w:sz w:val="20"/>
        <w:szCs w:val="20"/>
      </w:rPr>
      <w:instrText xml:space="preserve"> PAGE   \* MERGEFORMAT </w:instrText>
    </w:r>
    <w:r w:rsidR="0026754C" w:rsidRPr="002C4221">
      <w:rPr>
        <w:sz w:val="20"/>
        <w:szCs w:val="20"/>
      </w:rPr>
      <w:fldChar w:fldCharType="separate"/>
    </w:r>
    <w:r w:rsidR="006E4EA2" w:rsidRPr="006E4EA2">
      <w:rPr>
        <w:rFonts w:eastAsiaTheme="majorEastAsia" w:cstheme="majorBidi"/>
        <w:noProof/>
        <w:sz w:val="20"/>
        <w:szCs w:val="20"/>
      </w:rPr>
      <w:t>4</w:t>
    </w:r>
    <w:r w:rsidR="0026754C" w:rsidRPr="002C4221">
      <w:rPr>
        <w:rFonts w:eastAsiaTheme="majorEastAsia" w:cstheme="majorBidi"/>
        <w:noProof/>
        <w:sz w:val="20"/>
        <w:szCs w:val="20"/>
      </w:rPr>
      <w:fldChar w:fldCharType="end"/>
    </w:r>
  </w:p>
  <w:p w:rsidR="003526E7" w:rsidRDefault="003526E7" w:rsidP="002C42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6E7" w:rsidRPr="00C55B36" w:rsidRDefault="003526E7" w:rsidP="002C4221">
    <w:pPr>
      <w:pStyle w:val="Footer"/>
      <w:pBdr>
        <w:top w:val="thinThickSmallGap" w:sz="24" w:space="1" w:color="622423" w:themeColor="accent2" w:themeShade="7F"/>
      </w:pBdr>
      <w:rPr>
        <w:rFonts w:cstheme="minorHAnsi"/>
        <w:sz w:val="20"/>
        <w:szCs w:val="18"/>
      </w:rPr>
    </w:pPr>
    <w:r w:rsidRPr="00C55B36">
      <w:rPr>
        <w:rFonts w:cstheme="minorHAnsi"/>
        <w:sz w:val="20"/>
        <w:szCs w:val="18"/>
      </w:rPr>
      <w:t>Stevenson Center for Community and Economic Development</w:t>
    </w:r>
  </w:p>
  <w:p w:rsidR="003526E7" w:rsidRDefault="003526E7" w:rsidP="002C4221">
    <w:pPr>
      <w:pStyle w:val="Footer"/>
    </w:pPr>
    <w:r w:rsidRPr="00C55B36">
      <w:rPr>
        <w:rFonts w:cstheme="minorHAnsi"/>
        <w:sz w:val="20"/>
        <w:szCs w:val="18"/>
      </w:rPr>
      <w:t xml:space="preserve">Fiscal Year </w:t>
    </w:r>
    <w:r w:rsidR="00641D04">
      <w:rPr>
        <w:rFonts w:cstheme="minorHAnsi"/>
        <w:sz w:val="20"/>
        <w:szCs w:val="18"/>
      </w:rPr>
      <w:t>2020</w:t>
    </w:r>
    <w:r>
      <w:rPr>
        <w:rFonts w:cstheme="minorHAnsi"/>
        <w:sz w:val="20"/>
        <w:szCs w:val="18"/>
      </w:rPr>
      <w:t xml:space="preserve"> Planning Document</w:t>
    </w:r>
    <w:r w:rsidRPr="00C55B36">
      <w:rPr>
        <w:rFonts w:cstheme="minorHAnsi"/>
        <w:sz w:val="20"/>
        <w:szCs w:val="18"/>
      </w:rPr>
      <w:ptab w:relativeTo="margin" w:alignment="right" w:leader="none"/>
    </w:r>
    <w:r w:rsidRPr="00C55B36">
      <w:rPr>
        <w:rFonts w:cstheme="minorHAnsi"/>
        <w:sz w:val="20"/>
        <w:szCs w:val="18"/>
      </w:rPr>
      <w:t>Page</w:t>
    </w:r>
    <w:r>
      <w:rPr>
        <w:rFonts w:cstheme="minorHAnsi"/>
        <w:sz w:val="20"/>
        <w:szCs w:val="18"/>
      </w:rP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6E7" w:rsidRDefault="003526E7" w:rsidP="00331FA8">
      <w:pPr>
        <w:spacing w:after="0" w:line="240" w:lineRule="auto"/>
      </w:pPr>
      <w:r>
        <w:separator/>
      </w:r>
    </w:p>
  </w:footnote>
  <w:footnote w:type="continuationSeparator" w:id="0">
    <w:p w:rsidR="003526E7" w:rsidRDefault="003526E7" w:rsidP="0033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6E7" w:rsidRDefault="003526E7">
    <w:pPr>
      <w:pStyle w:val="Header"/>
    </w:pPr>
    <w:r w:rsidRPr="00AB594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1181100</wp:posOffset>
          </wp:positionH>
          <wp:positionV relativeFrom="paragraph">
            <wp:posOffset>-3810</wp:posOffset>
          </wp:positionV>
          <wp:extent cx="3514725" cy="704850"/>
          <wp:effectExtent l="0" t="0" r="0" b="0"/>
          <wp:wrapNone/>
          <wp:docPr id="2" name="Picture 1" descr="ISU seal Stevenson w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U seal Stevenson wid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7671"/>
    <w:multiLevelType w:val="hybridMultilevel"/>
    <w:tmpl w:val="3498379A"/>
    <w:lvl w:ilvl="0" w:tplc="F9EC9F2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F5171"/>
    <w:multiLevelType w:val="hybridMultilevel"/>
    <w:tmpl w:val="E064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82258"/>
    <w:multiLevelType w:val="hybridMultilevel"/>
    <w:tmpl w:val="1AA23468"/>
    <w:lvl w:ilvl="0" w:tplc="3A368DE0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50C9E"/>
    <w:multiLevelType w:val="hybridMultilevel"/>
    <w:tmpl w:val="4F90E078"/>
    <w:lvl w:ilvl="0" w:tplc="7DC465A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F3DDD"/>
    <w:multiLevelType w:val="hybridMultilevel"/>
    <w:tmpl w:val="BCF219CC"/>
    <w:lvl w:ilvl="0" w:tplc="20281EC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A41A9"/>
    <w:multiLevelType w:val="hybridMultilevel"/>
    <w:tmpl w:val="53009836"/>
    <w:lvl w:ilvl="0" w:tplc="6DB2A786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D1340"/>
    <w:multiLevelType w:val="hybridMultilevel"/>
    <w:tmpl w:val="1A9AC8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B1207"/>
    <w:multiLevelType w:val="hybridMultilevel"/>
    <w:tmpl w:val="7FEC1B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F61039"/>
    <w:multiLevelType w:val="hybridMultilevel"/>
    <w:tmpl w:val="151630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1B5D"/>
    <w:multiLevelType w:val="hybridMultilevel"/>
    <w:tmpl w:val="0D04B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3548A"/>
    <w:multiLevelType w:val="hybridMultilevel"/>
    <w:tmpl w:val="A96E712A"/>
    <w:lvl w:ilvl="0" w:tplc="596E4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82D1E"/>
    <w:multiLevelType w:val="hybridMultilevel"/>
    <w:tmpl w:val="A41C5720"/>
    <w:lvl w:ilvl="0" w:tplc="B98246C6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75017D"/>
    <w:multiLevelType w:val="hybridMultilevel"/>
    <w:tmpl w:val="A19682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B7595"/>
    <w:multiLevelType w:val="hybridMultilevel"/>
    <w:tmpl w:val="0CD45C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161AB"/>
    <w:multiLevelType w:val="hybridMultilevel"/>
    <w:tmpl w:val="4A42331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54811DAB"/>
    <w:multiLevelType w:val="hybridMultilevel"/>
    <w:tmpl w:val="DE3E9AF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F96948"/>
    <w:multiLevelType w:val="hybridMultilevel"/>
    <w:tmpl w:val="0164B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41442"/>
    <w:multiLevelType w:val="hybridMultilevel"/>
    <w:tmpl w:val="D2F8F1A4"/>
    <w:lvl w:ilvl="0" w:tplc="1A601FE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17B43"/>
    <w:multiLevelType w:val="hybridMultilevel"/>
    <w:tmpl w:val="0CD45C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257B7"/>
    <w:multiLevelType w:val="hybridMultilevel"/>
    <w:tmpl w:val="19B47848"/>
    <w:lvl w:ilvl="0" w:tplc="7488198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B0C62"/>
    <w:multiLevelType w:val="hybridMultilevel"/>
    <w:tmpl w:val="90C8B97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8510604"/>
    <w:multiLevelType w:val="hybridMultilevel"/>
    <w:tmpl w:val="0CD45C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84D53"/>
    <w:multiLevelType w:val="hybridMultilevel"/>
    <w:tmpl w:val="598822EC"/>
    <w:lvl w:ilvl="0" w:tplc="B0308FD2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6"/>
  </w:num>
  <w:num w:numId="5">
    <w:abstractNumId w:val="15"/>
  </w:num>
  <w:num w:numId="6">
    <w:abstractNumId w:val="22"/>
  </w:num>
  <w:num w:numId="7">
    <w:abstractNumId w:val="7"/>
  </w:num>
  <w:num w:numId="8">
    <w:abstractNumId w:val="4"/>
  </w:num>
  <w:num w:numId="9">
    <w:abstractNumId w:val="14"/>
  </w:num>
  <w:num w:numId="10">
    <w:abstractNumId w:val="3"/>
  </w:num>
  <w:num w:numId="11">
    <w:abstractNumId w:val="19"/>
  </w:num>
  <w:num w:numId="12">
    <w:abstractNumId w:val="9"/>
  </w:num>
  <w:num w:numId="13">
    <w:abstractNumId w:val="20"/>
  </w:num>
  <w:num w:numId="14">
    <w:abstractNumId w:val="5"/>
  </w:num>
  <w:num w:numId="15">
    <w:abstractNumId w:val="10"/>
  </w:num>
  <w:num w:numId="16">
    <w:abstractNumId w:val="0"/>
  </w:num>
  <w:num w:numId="17">
    <w:abstractNumId w:val="11"/>
  </w:num>
  <w:num w:numId="18">
    <w:abstractNumId w:val="17"/>
  </w:num>
  <w:num w:numId="19">
    <w:abstractNumId w:val="12"/>
  </w:num>
  <w:num w:numId="20">
    <w:abstractNumId w:val="8"/>
  </w:num>
  <w:num w:numId="21">
    <w:abstractNumId w:val="18"/>
  </w:num>
  <w:num w:numId="22">
    <w:abstractNumId w:val="2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7A"/>
    <w:rsid w:val="00010DAF"/>
    <w:rsid w:val="00011DC1"/>
    <w:rsid w:val="00013E7C"/>
    <w:rsid w:val="00043EE0"/>
    <w:rsid w:val="0005202B"/>
    <w:rsid w:val="00053F91"/>
    <w:rsid w:val="00055051"/>
    <w:rsid w:val="000625AB"/>
    <w:rsid w:val="00067A19"/>
    <w:rsid w:val="00067EA3"/>
    <w:rsid w:val="000805D7"/>
    <w:rsid w:val="000A3711"/>
    <w:rsid w:val="000B496D"/>
    <w:rsid w:val="000F083B"/>
    <w:rsid w:val="000F24D8"/>
    <w:rsid w:val="000F5D71"/>
    <w:rsid w:val="0010689A"/>
    <w:rsid w:val="00141387"/>
    <w:rsid w:val="00161E7E"/>
    <w:rsid w:val="001B172C"/>
    <w:rsid w:val="001D2B67"/>
    <w:rsid w:val="001E057A"/>
    <w:rsid w:val="001F44F8"/>
    <w:rsid w:val="0022192A"/>
    <w:rsid w:val="002248E6"/>
    <w:rsid w:val="00235E5C"/>
    <w:rsid w:val="00243763"/>
    <w:rsid w:val="002454A7"/>
    <w:rsid w:val="00261FAC"/>
    <w:rsid w:val="0026754C"/>
    <w:rsid w:val="002801E0"/>
    <w:rsid w:val="00286302"/>
    <w:rsid w:val="002A0FF8"/>
    <w:rsid w:val="002A53E0"/>
    <w:rsid w:val="002C2075"/>
    <w:rsid w:val="002C4221"/>
    <w:rsid w:val="002D7C34"/>
    <w:rsid w:val="0030618C"/>
    <w:rsid w:val="00321C56"/>
    <w:rsid w:val="00330E00"/>
    <w:rsid w:val="00331FA8"/>
    <w:rsid w:val="003526E7"/>
    <w:rsid w:val="003A1D5B"/>
    <w:rsid w:val="003C0D11"/>
    <w:rsid w:val="003D6A05"/>
    <w:rsid w:val="003D6AC0"/>
    <w:rsid w:val="00407A58"/>
    <w:rsid w:val="00437194"/>
    <w:rsid w:val="004660AD"/>
    <w:rsid w:val="00482006"/>
    <w:rsid w:val="0048209D"/>
    <w:rsid w:val="00486D76"/>
    <w:rsid w:val="005162E5"/>
    <w:rsid w:val="00526460"/>
    <w:rsid w:val="0057386C"/>
    <w:rsid w:val="00575EE1"/>
    <w:rsid w:val="005D3703"/>
    <w:rsid w:val="005F7A13"/>
    <w:rsid w:val="005F7B2A"/>
    <w:rsid w:val="006031AD"/>
    <w:rsid w:val="00604554"/>
    <w:rsid w:val="006318D8"/>
    <w:rsid w:val="00641D04"/>
    <w:rsid w:val="00650AFD"/>
    <w:rsid w:val="006705FD"/>
    <w:rsid w:val="006A2CA6"/>
    <w:rsid w:val="006B7D67"/>
    <w:rsid w:val="006C5351"/>
    <w:rsid w:val="006E4EA2"/>
    <w:rsid w:val="00704439"/>
    <w:rsid w:val="00704CBD"/>
    <w:rsid w:val="00716744"/>
    <w:rsid w:val="0072233C"/>
    <w:rsid w:val="007231A9"/>
    <w:rsid w:val="007318FF"/>
    <w:rsid w:val="00754D8A"/>
    <w:rsid w:val="00767102"/>
    <w:rsid w:val="00776820"/>
    <w:rsid w:val="007777BD"/>
    <w:rsid w:val="007831F4"/>
    <w:rsid w:val="00786CD9"/>
    <w:rsid w:val="0079447C"/>
    <w:rsid w:val="007960A3"/>
    <w:rsid w:val="007C1E34"/>
    <w:rsid w:val="00801A85"/>
    <w:rsid w:val="00822771"/>
    <w:rsid w:val="00867D15"/>
    <w:rsid w:val="00870104"/>
    <w:rsid w:val="00887AF3"/>
    <w:rsid w:val="008A662B"/>
    <w:rsid w:val="008B3BE4"/>
    <w:rsid w:val="008B4247"/>
    <w:rsid w:val="009376F1"/>
    <w:rsid w:val="00962C23"/>
    <w:rsid w:val="00967974"/>
    <w:rsid w:val="009723F8"/>
    <w:rsid w:val="009749FC"/>
    <w:rsid w:val="009C1517"/>
    <w:rsid w:val="009D4CCB"/>
    <w:rsid w:val="009E31D2"/>
    <w:rsid w:val="009E5880"/>
    <w:rsid w:val="009E7EA9"/>
    <w:rsid w:val="009F7329"/>
    <w:rsid w:val="00A006E2"/>
    <w:rsid w:val="00A11BC0"/>
    <w:rsid w:val="00A12785"/>
    <w:rsid w:val="00A36762"/>
    <w:rsid w:val="00A56181"/>
    <w:rsid w:val="00AB594D"/>
    <w:rsid w:val="00AF0FE7"/>
    <w:rsid w:val="00B0238B"/>
    <w:rsid w:val="00B420E4"/>
    <w:rsid w:val="00B57CAB"/>
    <w:rsid w:val="00B60285"/>
    <w:rsid w:val="00B63791"/>
    <w:rsid w:val="00B66C2E"/>
    <w:rsid w:val="00BD2E54"/>
    <w:rsid w:val="00BE20C3"/>
    <w:rsid w:val="00BE287D"/>
    <w:rsid w:val="00BE2E44"/>
    <w:rsid w:val="00C04DBE"/>
    <w:rsid w:val="00C0615D"/>
    <w:rsid w:val="00C33C3C"/>
    <w:rsid w:val="00C744E1"/>
    <w:rsid w:val="00C7501D"/>
    <w:rsid w:val="00D175EC"/>
    <w:rsid w:val="00D42C5A"/>
    <w:rsid w:val="00D43F2C"/>
    <w:rsid w:val="00D66A8F"/>
    <w:rsid w:val="00D670A4"/>
    <w:rsid w:val="00D713BC"/>
    <w:rsid w:val="00D779C9"/>
    <w:rsid w:val="00DA0C09"/>
    <w:rsid w:val="00DB31DA"/>
    <w:rsid w:val="00E46F7D"/>
    <w:rsid w:val="00E778A6"/>
    <w:rsid w:val="00E92FFD"/>
    <w:rsid w:val="00E96A2C"/>
    <w:rsid w:val="00EC35D1"/>
    <w:rsid w:val="00EE6342"/>
    <w:rsid w:val="00EF034B"/>
    <w:rsid w:val="00F25804"/>
    <w:rsid w:val="00F375A7"/>
    <w:rsid w:val="00F46FA0"/>
    <w:rsid w:val="00F64AB8"/>
    <w:rsid w:val="00F7086D"/>
    <w:rsid w:val="00F7357A"/>
    <w:rsid w:val="00F810D3"/>
    <w:rsid w:val="00F94D15"/>
    <w:rsid w:val="00FD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26E78F93"/>
  <w15:docId w15:val="{981A41BE-E783-424F-A130-1DA1707A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5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3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1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1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FA8"/>
  </w:style>
  <w:style w:type="paragraph" w:styleId="Footer">
    <w:name w:val="footer"/>
    <w:basedOn w:val="Normal"/>
    <w:link w:val="FooterChar"/>
    <w:uiPriority w:val="99"/>
    <w:unhideWhenUsed/>
    <w:rsid w:val="00331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FA8"/>
  </w:style>
  <w:style w:type="character" w:styleId="PageNumber">
    <w:name w:val="page number"/>
    <w:basedOn w:val="DefaultParagraphFont"/>
    <w:uiPriority w:val="99"/>
    <w:rsid w:val="002C42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ISU/CAS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fdbeck</dc:creator>
  <cp:lastModifiedBy>Beck, Frank</cp:lastModifiedBy>
  <cp:revision>11</cp:revision>
  <cp:lastPrinted>2019-03-13T18:01:00Z</cp:lastPrinted>
  <dcterms:created xsi:type="dcterms:W3CDTF">2019-03-13T17:28:00Z</dcterms:created>
  <dcterms:modified xsi:type="dcterms:W3CDTF">2019-03-13T19:59:00Z</dcterms:modified>
</cp:coreProperties>
</file>